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70468" w14:textId="06E7D33B" w:rsidR="006103D5" w:rsidRDefault="00693483" w:rsidP="00693483">
      <w:pPr>
        <w:jc w:val="center"/>
        <w:rPr>
          <w:lang w:val="en-GB"/>
        </w:rPr>
      </w:pPr>
      <w:bookmarkStart w:id="0" w:name="_GoBack"/>
      <w:r w:rsidRPr="00693483">
        <w:rPr>
          <w:b/>
          <w:color w:val="FF0000"/>
          <w:lang w:val="en-GB"/>
        </w:rPr>
        <w:t xml:space="preserve">DRAFT </w:t>
      </w:r>
      <w:r w:rsidR="00D94C39">
        <w:rPr>
          <w:b/>
          <w:lang w:val="en-GB"/>
        </w:rPr>
        <w:t>IBMA Comments on the Regulation on the Sustainable Use of Plant Protection Products</w:t>
      </w:r>
    </w:p>
    <w:bookmarkEnd w:id="0"/>
    <w:p w14:paraId="103FFB64" w14:textId="50DBD1AB" w:rsidR="00693483" w:rsidRPr="00693483" w:rsidRDefault="002C2162" w:rsidP="00693483">
      <w:pPr>
        <w:jc w:val="both"/>
        <w:rPr>
          <w:i/>
        </w:rPr>
      </w:pPr>
      <w:r w:rsidRPr="002C2162">
        <w:rPr>
          <w:b/>
        </w:rPr>
        <w:t>Executive Summary</w:t>
      </w:r>
      <w:r>
        <w:rPr>
          <w:i/>
        </w:rPr>
        <w:t xml:space="preserve"> (will be used in the public consultation and should contain a </w:t>
      </w:r>
      <w:r w:rsidR="00693483" w:rsidRPr="00693483">
        <w:rPr>
          <w:i/>
        </w:rPr>
        <w:t>maximum of 4</w:t>
      </w:r>
      <w:r w:rsidR="0091109A">
        <w:rPr>
          <w:i/>
        </w:rPr>
        <w:t>.</w:t>
      </w:r>
      <w:r w:rsidR="00693483" w:rsidRPr="00693483">
        <w:rPr>
          <w:i/>
        </w:rPr>
        <w:t>000 characters)</w:t>
      </w:r>
    </w:p>
    <w:p w14:paraId="6B925883" w14:textId="77777777" w:rsidR="002C2162" w:rsidRPr="005E3DD2" w:rsidRDefault="002C2162" w:rsidP="002C2162">
      <w:pPr>
        <w:jc w:val="both"/>
      </w:pPr>
      <w:r w:rsidRPr="005E3DD2">
        <w:t xml:space="preserve">IBMA welcomes that the </w:t>
      </w:r>
      <w:r w:rsidRPr="005E3DD2">
        <w:rPr>
          <w:b/>
        </w:rPr>
        <w:t>Directive is being upgraded to a Regulation</w:t>
      </w:r>
      <w:r w:rsidRPr="005E3DD2">
        <w:t xml:space="preserve">, which will certainly give it an implementation force that is quite different to its previous position as a Directive. IBMA also welcomes the </w:t>
      </w:r>
      <w:r w:rsidRPr="005E3DD2">
        <w:rPr>
          <w:b/>
        </w:rPr>
        <w:t>coherence with the CAP Strategic Plans</w:t>
      </w:r>
      <w:r w:rsidRPr="005E3DD2">
        <w:t xml:space="preserve"> as MSs may apply financial incentives or mitigation to offset some impacts. </w:t>
      </w:r>
    </w:p>
    <w:p w14:paraId="685A92AC" w14:textId="3D071FDA" w:rsidR="002C2162" w:rsidRPr="005E3DD2" w:rsidRDefault="002C2162" w:rsidP="002C2162">
      <w:pPr>
        <w:jc w:val="both"/>
      </w:pPr>
      <w:r w:rsidRPr="005E3DD2">
        <w:t xml:space="preserve">IBMA appreciates that an EU </w:t>
      </w:r>
      <w:r w:rsidRPr="005E3DD2">
        <w:rPr>
          <w:b/>
        </w:rPr>
        <w:t>definition of ‘biological control’</w:t>
      </w:r>
      <w:r w:rsidRPr="005E3DD2">
        <w:t xml:space="preserve"> that encompasses the four categories of biocontrol has been included in the Regulation. These categories are: </w:t>
      </w:r>
      <w:r w:rsidRPr="005E3DD2">
        <w:rPr>
          <w:lang w:val="en-GB"/>
        </w:rPr>
        <w:t xml:space="preserve">invertebrate biocontrol agents, microbials, semiochemicals and natural substances. </w:t>
      </w:r>
      <w:r w:rsidR="004E60F8">
        <w:rPr>
          <w:lang w:val="en-GB"/>
        </w:rPr>
        <w:t>To provide more clarity i</w:t>
      </w:r>
      <w:r w:rsidRPr="005E3DD2">
        <w:t xml:space="preserve">t is suggested to extend the definition </w:t>
      </w:r>
      <w:r w:rsidR="004E60F8">
        <w:t>with “</w:t>
      </w:r>
      <w:r w:rsidR="004E60F8" w:rsidRPr="00766604">
        <w:rPr>
          <w:i/>
        </w:rPr>
        <w:t>and peptides and minerals</w:t>
      </w:r>
      <w:r w:rsidRPr="005E3DD2">
        <w:rPr>
          <w:i/>
        </w:rPr>
        <w:t>”</w:t>
      </w:r>
      <w:r w:rsidRPr="005E3DD2">
        <w:t>.</w:t>
      </w:r>
    </w:p>
    <w:p w14:paraId="75B9BEB3" w14:textId="77777777" w:rsidR="002C2162" w:rsidRPr="005E3DD2" w:rsidRDefault="002C2162" w:rsidP="002C2162">
      <w:pPr>
        <w:jc w:val="both"/>
      </w:pPr>
      <w:r w:rsidRPr="005E3DD2">
        <w:t xml:space="preserve">The text of the Regulation contains mainly references to </w:t>
      </w:r>
      <w:r w:rsidRPr="005E3DD2">
        <w:rPr>
          <w:b/>
        </w:rPr>
        <w:t>‘low-risk’ products</w:t>
      </w:r>
      <w:r w:rsidRPr="005E3DD2">
        <w:t xml:space="preserve"> as products that preferably should be used. IBMA advocates that this should be extended to biocontrol products in general.</w:t>
      </w:r>
      <w:r w:rsidRPr="005E3DD2">
        <w:rPr>
          <w:lang w:val="en-GB"/>
        </w:rPr>
        <w:t xml:space="preserve"> To promote the use of biocontrol even more the </w:t>
      </w:r>
      <w:r w:rsidRPr="005E3DD2">
        <w:rPr>
          <w:b/>
          <w:lang w:val="en-GB"/>
        </w:rPr>
        <w:t>definition of ‘non-chemical methods’</w:t>
      </w:r>
      <w:r w:rsidRPr="005E3DD2">
        <w:rPr>
          <w:lang w:val="en-GB"/>
        </w:rPr>
        <w:t xml:space="preserve"> can be expanded by explicitly mentioning biocontrol. In addition, all products that are currently </w:t>
      </w:r>
      <w:r w:rsidRPr="005E3DD2">
        <w:rPr>
          <w:b/>
          <w:lang w:val="en-GB"/>
        </w:rPr>
        <w:t>authorised for non-professional use</w:t>
      </w:r>
      <w:r w:rsidRPr="005E3DD2">
        <w:rPr>
          <w:lang w:val="en-GB"/>
        </w:rPr>
        <w:t xml:space="preserve"> should remain available for ‘non-professional users’.</w:t>
      </w:r>
      <w:r w:rsidRPr="005E3DD2">
        <w:t xml:space="preserve"> </w:t>
      </w:r>
      <w:r w:rsidRPr="005E3DD2">
        <w:rPr>
          <w:lang w:val="en-GB"/>
        </w:rPr>
        <w:t xml:space="preserve">Distributors should be stimulated to recommend not only low-risk products, but </w:t>
      </w:r>
      <w:r w:rsidRPr="005E3DD2">
        <w:rPr>
          <w:b/>
          <w:lang w:val="en-GB"/>
        </w:rPr>
        <w:t>low-risk and/or biocontrol products</w:t>
      </w:r>
      <w:r w:rsidRPr="005E3DD2">
        <w:rPr>
          <w:lang w:val="en-GB"/>
        </w:rPr>
        <w:t xml:space="preserve">. </w:t>
      </w:r>
    </w:p>
    <w:p w14:paraId="71D5E0A5" w14:textId="77777777" w:rsidR="002C2162" w:rsidRPr="005E3DD2" w:rsidRDefault="002C2162" w:rsidP="002C2162">
      <w:pPr>
        <w:spacing w:after="0" w:line="240" w:lineRule="auto"/>
        <w:jc w:val="both"/>
        <w:rPr>
          <w:lang w:val="en-GB"/>
        </w:rPr>
      </w:pPr>
      <w:r w:rsidRPr="005E3DD2">
        <w:rPr>
          <w:lang w:val="en-GB"/>
        </w:rPr>
        <w:t xml:space="preserve">IBMA advocates that the use of biocontrol as well as low-risk PPPs should be permitted in </w:t>
      </w:r>
      <w:r w:rsidRPr="005E3DD2">
        <w:rPr>
          <w:b/>
          <w:lang w:val="en-GB"/>
        </w:rPr>
        <w:t>sensitive areas</w:t>
      </w:r>
      <w:r w:rsidRPr="005E3DD2">
        <w:rPr>
          <w:lang w:val="en-GB"/>
        </w:rPr>
        <w:t>.</w:t>
      </w:r>
    </w:p>
    <w:p w14:paraId="35181174" w14:textId="77777777" w:rsidR="002C2162" w:rsidRPr="005E3DD2" w:rsidRDefault="002C2162" w:rsidP="002C2162">
      <w:pPr>
        <w:spacing w:after="0" w:line="240" w:lineRule="auto"/>
        <w:jc w:val="both"/>
        <w:rPr>
          <w:lang w:val="en-GB"/>
        </w:rPr>
      </w:pPr>
    </w:p>
    <w:p w14:paraId="21E33D4C" w14:textId="68221F99" w:rsidR="004E60F8" w:rsidRDefault="004E60F8" w:rsidP="002C2162">
      <w:pPr>
        <w:spacing w:after="0" w:line="240" w:lineRule="auto"/>
        <w:jc w:val="both"/>
        <w:rPr>
          <w:lang w:val="en-GB"/>
        </w:rPr>
      </w:pPr>
      <w:r w:rsidRPr="006A3247">
        <w:rPr>
          <w:lang w:val="en-GB"/>
        </w:rPr>
        <w:t xml:space="preserve">In the Regulation it is stated that each MS should include </w:t>
      </w:r>
      <w:r w:rsidRPr="006A3247">
        <w:rPr>
          <w:b/>
          <w:lang w:val="en-GB"/>
        </w:rPr>
        <w:t>a</w:t>
      </w:r>
      <w:r>
        <w:rPr>
          <w:b/>
          <w:lang w:val="en-GB"/>
        </w:rPr>
        <w:t>n indicative</w:t>
      </w:r>
      <w:r w:rsidRPr="006A3247">
        <w:rPr>
          <w:b/>
          <w:lang w:val="en-GB"/>
        </w:rPr>
        <w:t xml:space="preserve"> positive target for biocontrol in their NAPs</w:t>
      </w:r>
      <w:r w:rsidRPr="00E74859">
        <w:rPr>
          <w:lang w:val="en-GB"/>
        </w:rPr>
        <w:t>.</w:t>
      </w:r>
      <w:r w:rsidRPr="006A3247">
        <w:rPr>
          <w:lang w:val="en-GB"/>
        </w:rPr>
        <w:t xml:space="preserve"> </w:t>
      </w:r>
      <w:r>
        <w:rPr>
          <w:lang w:val="en-GB"/>
        </w:rPr>
        <w:t>IBMA recognizes the reduction targets and asks for an equivalent</w:t>
      </w:r>
      <w:r>
        <w:t xml:space="preserve"> positive target to provide legal clarity for investment in biocontrol in Europe. I</w:t>
      </w:r>
      <w:r w:rsidRPr="00C005CB">
        <w:t xml:space="preserve">BMA advocates </w:t>
      </w:r>
      <w:r>
        <w:t xml:space="preserve">that </w:t>
      </w:r>
      <w:r w:rsidRPr="00C005CB">
        <w:t xml:space="preserve">a </w:t>
      </w:r>
      <w:r w:rsidRPr="006A3247">
        <w:rPr>
          <w:b/>
        </w:rPr>
        <w:t xml:space="preserve">75% </w:t>
      </w:r>
      <w:r>
        <w:rPr>
          <w:b/>
        </w:rPr>
        <w:t xml:space="preserve">positive </w:t>
      </w:r>
      <w:r w:rsidRPr="006A3247">
        <w:rPr>
          <w:b/>
        </w:rPr>
        <w:t>target for biocontrol</w:t>
      </w:r>
      <w:r w:rsidRPr="00C005CB">
        <w:t xml:space="preserve"> at EU level </w:t>
      </w:r>
      <w:r>
        <w:t xml:space="preserve">would be necessary </w:t>
      </w:r>
      <w:r w:rsidRPr="00C005CB">
        <w:t xml:space="preserve">to achieve the </w:t>
      </w:r>
      <w:r>
        <w:t xml:space="preserve">full </w:t>
      </w:r>
      <w:r w:rsidRPr="00C005CB">
        <w:t>agro</w:t>
      </w:r>
      <w:r>
        <w:t>-</w:t>
      </w:r>
      <w:r w:rsidRPr="00C005CB">
        <w:t>ecological transition</w:t>
      </w:r>
      <w:r w:rsidRPr="006A3247">
        <w:rPr>
          <w:lang w:val="en-GB"/>
        </w:rPr>
        <w:t>.</w:t>
      </w:r>
    </w:p>
    <w:p w14:paraId="4230E9F7" w14:textId="77777777" w:rsidR="004E60F8" w:rsidRPr="005E3DD2" w:rsidRDefault="004E60F8" w:rsidP="002C2162">
      <w:pPr>
        <w:spacing w:after="0" w:line="240" w:lineRule="auto"/>
        <w:jc w:val="both"/>
        <w:rPr>
          <w:lang w:val="en-GB"/>
        </w:rPr>
      </w:pPr>
    </w:p>
    <w:p w14:paraId="6C6FDF7A" w14:textId="668177E3" w:rsidR="00C355F7" w:rsidRPr="00C355F7" w:rsidRDefault="00C355F7" w:rsidP="00C355F7">
      <w:pPr>
        <w:spacing w:after="0" w:line="240" w:lineRule="auto"/>
        <w:jc w:val="both"/>
      </w:pPr>
      <w:r w:rsidRPr="00C355F7">
        <w:t xml:space="preserve">IBMA </w:t>
      </w:r>
      <w:r>
        <w:t xml:space="preserve">welcomes </w:t>
      </w:r>
      <w:r w:rsidRPr="00C355F7">
        <w:t xml:space="preserve">the inclusion of </w:t>
      </w:r>
      <w:r w:rsidRPr="00C355F7">
        <w:rPr>
          <w:b/>
        </w:rPr>
        <w:t>biological control adoption measures</w:t>
      </w:r>
      <w:r w:rsidRPr="00C355F7">
        <w:t xml:space="preserve"> and </w:t>
      </w:r>
      <w:r w:rsidRPr="00C355F7">
        <w:rPr>
          <w:b/>
        </w:rPr>
        <w:t xml:space="preserve">national indicative target for each “non-chemical method” </w:t>
      </w:r>
      <w:r w:rsidRPr="00C355F7">
        <w:t xml:space="preserve">in National Action Plans including a list of the obstacles to biocontrol and the steps being taken to remove these obstacles. </w:t>
      </w:r>
    </w:p>
    <w:p w14:paraId="6C43B8D7" w14:textId="77777777" w:rsidR="002C2162" w:rsidRPr="005E3DD2" w:rsidRDefault="002C2162" w:rsidP="002C2162">
      <w:pPr>
        <w:spacing w:after="0" w:line="240" w:lineRule="auto"/>
        <w:jc w:val="both"/>
        <w:rPr>
          <w:lang w:val="en-GB"/>
        </w:rPr>
      </w:pPr>
      <w:r w:rsidRPr="005E3DD2">
        <w:rPr>
          <w:lang w:val="en-GB"/>
        </w:rPr>
        <w:br/>
        <w:t xml:space="preserve">The definition of </w:t>
      </w:r>
      <w:r w:rsidRPr="005E3DD2">
        <w:rPr>
          <w:b/>
          <w:lang w:val="en-GB"/>
        </w:rPr>
        <w:t>Integrated Pest Management (IPM)</w:t>
      </w:r>
      <w:r w:rsidRPr="005E3DD2">
        <w:rPr>
          <w:lang w:val="en-GB"/>
        </w:rPr>
        <w:t xml:space="preserve"> has not really been ‘modernised’ compared with the one in the Sustainable Use Directive and is still considered not strong enough as it should explicitly refer to </w:t>
      </w:r>
      <w:r w:rsidRPr="005E3DD2">
        <w:rPr>
          <w:b/>
          <w:lang w:val="en-GB"/>
        </w:rPr>
        <w:t>placing biology first</w:t>
      </w:r>
      <w:r w:rsidRPr="005E3DD2">
        <w:rPr>
          <w:lang w:val="en-GB"/>
        </w:rPr>
        <w:t xml:space="preserve"> and using chemicals only if essential. The definition of IPM should also reflect that IPM is ‘an ecosystem-based strategy’. In this respect also the contribution from IPM to the </w:t>
      </w:r>
      <w:r w:rsidRPr="005E3DD2">
        <w:rPr>
          <w:b/>
          <w:lang w:val="en-GB"/>
        </w:rPr>
        <w:t>EU Biodiversity Strategy for 2030</w:t>
      </w:r>
      <w:r w:rsidRPr="005E3DD2">
        <w:rPr>
          <w:lang w:val="en-GB"/>
        </w:rPr>
        <w:t xml:space="preserve"> and the functioning of ecosystems and ecosystem services should be more emphasized and </w:t>
      </w:r>
      <w:r w:rsidRPr="005E3DD2">
        <w:rPr>
          <w:b/>
          <w:lang w:val="en-GB"/>
        </w:rPr>
        <w:t>indicators for IPM</w:t>
      </w:r>
      <w:r w:rsidRPr="005E3DD2">
        <w:rPr>
          <w:lang w:val="en-GB"/>
        </w:rPr>
        <w:t xml:space="preserve"> such as the presence of pollinators and beneficial invertebrates should be established in this context.</w:t>
      </w:r>
    </w:p>
    <w:p w14:paraId="7D17030B" w14:textId="77777777" w:rsidR="002C2162" w:rsidRPr="005E3DD2" w:rsidRDefault="002C2162" w:rsidP="002C2162">
      <w:pPr>
        <w:shd w:val="clear" w:color="auto" w:fill="FFFFFF"/>
        <w:spacing w:after="0" w:line="240" w:lineRule="auto"/>
        <w:jc w:val="both"/>
        <w:outlineLvl w:val="1"/>
        <w:rPr>
          <w:lang w:val="en-GB"/>
        </w:rPr>
      </w:pPr>
    </w:p>
    <w:p w14:paraId="76DCAF69" w14:textId="77777777" w:rsidR="002C2162" w:rsidRPr="005E3DD2" w:rsidRDefault="002C2162" w:rsidP="002C2162">
      <w:pPr>
        <w:jc w:val="both"/>
      </w:pPr>
      <w:r w:rsidRPr="005E3DD2">
        <w:t xml:space="preserve">IBMA welcomes </w:t>
      </w:r>
      <w:r w:rsidRPr="005E3DD2">
        <w:rPr>
          <w:lang w:val="en-GB"/>
        </w:rPr>
        <w:t xml:space="preserve">the </w:t>
      </w:r>
      <w:r w:rsidRPr="005E3DD2">
        <w:rPr>
          <w:b/>
          <w:lang w:val="en-GB"/>
        </w:rPr>
        <w:t>mandatory training</w:t>
      </w:r>
      <w:r w:rsidRPr="005E3DD2">
        <w:rPr>
          <w:lang w:val="en-GB"/>
        </w:rPr>
        <w:t xml:space="preserve"> for professional users and advisors on IPM and biocontrol, as well as the incentive for advisors to attend such training through conditional renewal of professional advisory qualification. The establishment of mandatory IPM advice records through an electronic IPM register to justify the treatment programmes used, is considered essential to compare IPM practices. </w:t>
      </w:r>
      <w:r w:rsidRPr="005E3DD2">
        <w:t xml:space="preserve">The knowledge and experience that growers have gained on IPM methods need to be communicated more widely. To achieve this appropriate training and communication tools need to be used. Also </w:t>
      </w:r>
      <w:r w:rsidRPr="005E3DD2">
        <w:rPr>
          <w:b/>
        </w:rPr>
        <w:t xml:space="preserve">‘Crop-profiles’ </w:t>
      </w:r>
      <w:r w:rsidRPr="005E3DD2">
        <w:rPr>
          <w:b/>
        </w:rPr>
        <w:lastRenderedPageBreak/>
        <w:t xml:space="preserve">or ‘IPM Profiles’ </w:t>
      </w:r>
      <w:r w:rsidRPr="005E3DD2">
        <w:t xml:space="preserve">that provide an overview of production and pest management practices for a specific crop can become important tools to achieve these goals. </w:t>
      </w:r>
    </w:p>
    <w:p w14:paraId="0B423713" w14:textId="77777777" w:rsidR="002C2162" w:rsidRPr="005E3DD2" w:rsidRDefault="002C2162" w:rsidP="002C2162">
      <w:pPr>
        <w:spacing w:after="0" w:line="240" w:lineRule="auto"/>
        <w:contextualSpacing/>
        <w:jc w:val="both"/>
      </w:pPr>
      <w:r w:rsidRPr="005E3DD2">
        <w:rPr>
          <w:b/>
          <w:lang w:val="en-GB"/>
        </w:rPr>
        <w:t>Drone (UAV) application</w:t>
      </w:r>
      <w:r w:rsidRPr="005E3DD2">
        <w:rPr>
          <w:lang w:val="en-GB"/>
        </w:rPr>
        <w:t xml:space="preserve"> should apply both to biocontrol products and to low-risk products. </w:t>
      </w:r>
      <w:r w:rsidRPr="005E3DD2">
        <w:t xml:space="preserve">IBMA welcomes that a competent authority designated by a Member State may permit </w:t>
      </w:r>
      <w:r w:rsidRPr="005E3DD2">
        <w:rPr>
          <w:b/>
        </w:rPr>
        <w:t>aerial application</w:t>
      </w:r>
      <w:r w:rsidRPr="005E3DD2">
        <w:t xml:space="preserve"> by a professional user. </w:t>
      </w:r>
    </w:p>
    <w:p w14:paraId="064784FC" w14:textId="77777777" w:rsidR="002C2162" w:rsidRPr="005E3DD2" w:rsidRDefault="002C2162" w:rsidP="002C2162">
      <w:pPr>
        <w:spacing w:after="0" w:line="240" w:lineRule="auto"/>
        <w:jc w:val="both"/>
      </w:pPr>
    </w:p>
    <w:p w14:paraId="00C56A0D" w14:textId="77777777" w:rsidR="002C2162" w:rsidRDefault="002C2162" w:rsidP="002C2162">
      <w:pPr>
        <w:spacing w:after="0" w:line="240" w:lineRule="auto"/>
        <w:jc w:val="both"/>
      </w:pPr>
      <w:r w:rsidRPr="005E3DD2">
        <w:t xml:space="preserve">It is important that the </w:t>
      </w:r>
      <w:r w:rsidRPr="005E3DD2">
        <w:rPr>
          <w:b/>
        </w:rPr>
        <w:t>Harmonised Risk Indicators</w:t>
      </w:r>
      <w:r w:rsidRPr="005E3DD2">
        <w:t xml:space="preserve"> provide a measure of progress towards pesticide reduction targets and indicate the growth of alternative methods such as biocontrol. To do this requires a separation of biological control from chemical PPPs so they can be measured separately.</w:t>
      </w:r>
    </w:p>
    <w:p w14:paraId="0AA67543" w14:textId="77777777" w:rsidR="002C2162" w:rsidRDefault="002C2162">
      <w:r>
        <w:br w:type="page"/>
      </w:r>
    </w:p>
    <w:p w14:paraId="47FFFB0D" w14:textId="6E9D666A" w:rsidR="00D94C39" w:rsidRDefault="00D94C39" w:rsidP="00D94C39">
      <w:pPr>
        <w:jc w:val="center"/>
        <w:rPr>
          <w:lang w:val="en-GB"/>
        </w:rPr>
      </w:pPr>
      <w:r w:rsidRPr="00693483">
        <w:rPr>
          <w:b/>
          <w:color w:val="FF0000"/>
          <w:lang w:val="en-GB"/>
        </w:rPr>
        <w:lastRenderedPageBreak/>
        <w:t xml:space="preserve">DRAFT </w:t>
      </w:r>
      <w:r>
        <w:rPr>
          <w:b/>
          <w:lang w:val="en-GB"/>
        </w:rPr>
        <w:t>IBMA Comments on the Regulation on the Sustainable Use of Plant Protection Products (SUR)</w:t>
      </w:r>
    </w:p>
    <w:p w14:paraId="18780D13" w14:textId="582082C0" w:rsidR="000919B7" w:rsidRDefault="000919B7" w:rsidP="006103D5">
      <w:pPr>
        <w:rPr>
          <w:lang w:val="en-GB"/>
        </w:rPr>
      </w:pPr>
      <w:r>
        <w:rPr>
          <w:lang w:val="en-GB"/>
        </w:rPr>
        <w:t>In summary:</w:t>
      </w:r>
    </w:p>
    <w:p w14:paraId="276F000C" w14:textId="339D6B98" w:rsidR="000919B7" w:rsidRDefault="000919B7" w:rsidP="006103D5">
      <w:pPr>
        <w:rPr>
          <w:lang w:val="en-GB"/>
        </w:rPr>
      </w:pPr>
      <w:r>
        <w:rPr>
          <w:lang w:val="en-GB"/>
        </w:rPr>
        <w:t>IBMA welcomes:</w:t>
      </w:r>
    </w:p>
    <w:p w14:paraId="393582AE" w14:textId="711BCCED" w:rsidR="000919B7" w:rsidRDefault="000919B7" w:rsidP="000919B7">
      <w:pPr>
        <w:pStyle w:val="ListParagraph"/>
        <w:numPr>
          <w:ilvl w:val="0"/>
          <w:numId w:val="9"/>
        </w:numPr>
        <w:rPr>
          <w:lang w:val="en-GB"/>
        </w:rPr>
      </w:pPr>
      <w:r>
        <w:rPr>
          <w:lang w:val="en-GB"/>
        </w:rPr>
        <w:t xml:space="preserve">The inclusion of a definition of biological control including the 4 categories </w:t>
      </w:r>
    </w:p>
    <w:p w14:paraId="52919EA7" w14:textId="15A2FE87" w:rsidR="000919B7" w:rsidRDefault="000919B7" w:rsidP="000919B7">
      <w:pPr>
        <w:pStyle w:val="ListParagraph"/>
        <w:numPr>
          <w:ilvl w:val="0"/>
          <w:numId w:val="9"/>
        </w:numPr>
        <w:rPr>
          <w:lang w:val="en-GB"/>
        </w:rPr>
      </w:pPr>
      <w:r>
        <w:rPr>
          <w:lang w:val="en-GB"/>
        </w:rPr>
        <w:t>IPM being defined as a hierarchy that puts biology first and chemistry as a last resort</w:t>
      </w:r>
    </w:p>
    <w:p w14:paraId="290B2BC1" w14:textId="6D5054B3" w:rsidR="000919B7" w:rsidRDefault="005625C6" w:rsidP="000919B7">
      <w:pPr>
        <w:pStyle w:val="ListParagraph"/>
        <w:numPr>
          <w:ilvl w:val="0"/>
          <w:numId w:val="9"/>
        </w:numPr>
        <w:rPr>
          <w:lang w:val="en-GB"/>
        </w:rPr>
      </w:pPr>
      <w:r>
        <w:rPr>
          <w:lang w:val="en-GB"/>
        </w:rPr>
        <w:t>The inclusion of biological control adoption measures and indicative targets in National Action Plans (Article 9) including a list of the obstacles to biocontrol and the steps being taken to remove these obstacles</w:t>
      </w:r>
    </w:p>
    <w:p w14:paraId="150CC982" w14:textId="5D42E9B2" w:rsidR="005625C6" w:rsidRDefault="005625C6" w:rsidP="000919B7">
      <w:pPr>
        <w:pStyle w:val="ListParagraph"/>
        <w:numPr>
          <w:ilvl w:val="0"/>
          <w:numId w:val="9"/>
        </w:numPr>
        <w:rPr>
          <w:lang w:val="en-GB"/>
        </w:rPr>
      </w:pPr>
      <w:r>
        <w:rPr>
          <w:lang w:val="en-GB"/>
        </w:rPr>
        <w:t>Training in IPM and biocontrol for advisers and farmers</w:t>
      </w:r>
    </w:p>
    <w:p w14:paraId="6B0C2E93" w14:textId="70F8A801" w:rsidR="005625C6" w:rsidRDefault="005625C6" w:rsidP="005625C6">
      <w:pPr>
        <w:rPr>
          <w:lang w:val="en-GB"/>
        </w:rPr>
      </w:pPr>
      <w:r>
        <w:rPr>
          <w:lang w:val="en-GB"/>
        </w:rPr>
        <w:t>IBMA is keen to see the following amendments:</w:t>
      </w:r>
    </w:p>
    <w:p w14:paraId="0E5226C7" w14:textId="312251C6" w:rsidR="005625C6" w:rsidRDefault="00CB6D6F" w:rsidP="005625C6">
      <w:pPr>
        <w:pStyle w:val="ListParagraph"/>
        <w:numPr>
          <w:ilvl w:val="0"/>
          <w:numId w:val="9"/>
        </w:numPr>
        <w:rPr>
          <w:lang w:val="en-GB"/>
        </w:rPr>
      </w:pPr>
      <w:r>
        <w:rPr>
          <w:lang w:val="en-GB"/>
        </w:rPr>
        <w:t xml:space="preserve">Broadening of the definition of biological control to include </w:t>
      </w:r>
      <w:r w:rsidR="00D132E5">
        <w:rPr>
          <w:lang w:val="en-GB"/>
        </w:rPr>
        <w:t xml:space="preserve">substances such as </w:t>
      </w:r>
      <w:r>
        <w:rPr>
          <w:lang w:val="en-GB"/>
        </w:rPr>
        <w:t>peptides and minerals</w:t>
      </w:r>
    </w:p>
    <w:p w14:paraId="02A6B227" w14:textId="609CE7E5" w:rsidR="00CB6D6F" w:rsidRDefault="00CB6D6F" w:rsidP="005625C6">
      <w:pPr>
        <w:pStyle w:val="ListParagraph"/>
        <w:numPr>
          <w:ilvl w:val="0"/>
          <w:numId w:val="9"/>
        </w:numPr>
        <w:rPr>
          <w:lang w:val="en-GB"/>
        </w:rPr>
      </w:pPr>
      <w:r>
        <w:rPr>
          <w:lang w:val="en-GB"/>
        </w:rPr>
        <w:t xml:space="preserve">Allowing of biological control use in public areas which are currently defined as sensitive areas in which no PPP is allowed. </w:t>
      </w:r>
    </w:p>
    <w:p w14:paraId="7E7921CA" w14:textId="73D3F9E9" w:rsidR="00CB6D6F" w:rsidRDefault="00CB6D6F" w:rsidP="005625C6">
      <w:pPr>
        <w:pStyle w:val="ListParagraph"/>
        <w:numPr>
          <w:ilvl w:val="0"/>
          <w:numId w:val="9"/>
        </w:numPr>
        <w:rPr>
          <w:lang w:val="en-GB"/>
        </w:rPr>
      </w:pPr>
      <w:r>
        <w:rPr>
          <w:lang w:val="en-GB"/>
        </w:rPr>
        <w:t xml:space="preserve">Further rigour in the IPM </w:t>
      </w:r>
      <w:r w:rsidR="00D132E5">
        <w:rPr>
          <w:lang w:val="en-GB"/>
        </w:rPr>
        <w:t>definition</w:t>
      </w:r>
      <w:r>
        <w:rPr>
          <w:lang w:val="en-GB"/>
        </w:rPr>
        <w:t xml:space="preserve"> to ensure a biology first mind</w:t>
      </w:r>
      <w:r w:rsidR="00D94C39">
        <w:rPr>
          <w:lang w:val="en-GB"/>
        </w:rPr>
        <w:t>-</w:t>
      </w:r>
      <w:r>
        <w:rPr>
          <w:lang w:val="en-GB"/>
        </w:rPr>
        <w:t>set is expressed supporting ecosystem approach and biodiversity</w:t>
      </w:r>
    </w:p>
    <w:p w14:paraId="052916BC" w14:textId="6C886354" w:rsidR="00CB6D6F" w:rsidRPr="005625C6" w:rsidRDefault="00CB6D6F" w:rsidP="00766604">
      <w:pPr>
        <w:pStyle w:val="ListParagraph"/>
        <w:numPr>
          <w:ilvl w:val="0"/>
          <w:numId w:val="9"/>
        </w:numPr>
        <w:rPr>
          <w:lang w:val="en-GB"/>
        </w:rPr>
      </w:pPr>
      <w:r>
        <w:rPr>
          <w:lang w:val="en-GB"/>
        </w:rPr>
        <w:t>HRI to be carefully considered to allow separation and measurement of biological control from chemical control</w:t>
      </w:r>
    </w:p>
    <w:p w14:paraId="06547D5A" w14:textId="77777777" w:rsidR="000919B7" w:rsidRDefault="000919B7" w:rsidP="006103D5">
      <w:pPr>
        <w:rPr>
          <w:lang w:val="en-GB"/>
        </w:rPr>
      </w:pPr>
    </w:p>
    <w:p w14:paraId="2A0EB1BA" w14:textId="092FB58C" w:rsidR="00574998" w:rsidRDefault="00693483" w:rsidP="006103D5">
      <w:pPr>
        <w:rPr>
          <w:lang w:val="en-GB"/>
        </w:rPr>
      </w:pPr>
      <w:r>
        <w:rPr>
          <w:lang w:val="en-GB"/>
        </w:rPr>
        <w:t>IBMA’s comments are grouped around the following topics:</w:t>
      </w:r>
    </w:p>
    <w:p w14:paraId="6686F9B8" w14:textId="4463D11D" w:rsidR="002C2162" w:rsidRPr="00766604" w:rsidRDefault="002C2162" w:rsidP="00693483">
      <w:pPr>
        <w:pStyle w:val="ListParagraph"/>
        <w:numPr>
          <w:ilvl w:val="0"/>
          <w:numId w:val="8"/>
        </w:numPr>
        <w:rPr>
          <w:lang w:val="en-GB"/>
        </w:rPr>
      </w:pPr>
      <w:r>
        <w:rPr>
          <w:lang w:val="en-GB"/>
        </w:rPr>
        <w:t>General statement</w:t>
      </w:r>
    </w:p>
    <w:p w14:paraId="7F92DE55" w14:textId="5A8CCC50" w:rsidR="00693483" w:rsidRPr="00B045F6" w:rsidRDefault="00693483" w:rsidP="00693483">
      <w:pPr>
        <w:pStyle w:val="ListParagraph"/>
        <w:numPr>
          <w:ilvl w:val="0"/>
          <w:numId w:val="8"/>
        </w:numPr>
        <w:rPr>
          <w:lang w:val="en-GB"/>
        </w:rPr>
      </w:pPr>
      <w:r w:rsidRPr="00693483">
        <w:t>Definition of ‘biological control’</w:t>
      </w:r>
    </w:p>
    <w:p w14:paraId="27E81874" w14:textId="2733E779" w:rsidR="00B045F6" w:rsidRPr="00693483" w:rsidRDefault="00B045F6" w:rsidP="00693483">
      <w:pPr>
        <w:pStyle w:val="ListParagraph"/>
        <w:numPr>
          <w:ilvl w:val="0"/>
          <w:numId w:val="8"/>
        </w:numPr>
        <w:rPr>
          <w:lang w:val="en-GB"/>
        </w:rPr>
      </w:pPr>
      <w:r>
        <w:t>Sensitive areas</w:t>
      </w:r>
    </w:p>
    <w:p w14:paraId="58A0BF1F" w14:textId="7C3ADC39" w:rsidR="00693483" w:rsidRPr="00693483" w:rsidRDefault="00693483" w:rsidP="00693483">
      <w:pPr>
        <w:pStyle w:val="ListParagraph"/>
        <w:numPr>
          <w:ilvl w:val="0"/>
          <w:numId w:val="8"/>
        </w:numPr>
        <w:rPr>
          <w:lang w:val="en-GB"/>
        </w:rPr>
      </w:pPr>
      <w:r w:rsidRPr="00693483">
        <w:t>(Positive) targets</w:t>
      </w:r>
    </w:p>
    <w:p w14:paraId="1D2D4AC6" w14:textId="77777777" w:rsidR="00693483" w:rsidRPr="00693483" w:rsidRDefault="00693483" w:rsidP="00693483">
      <w:pPr>
        <w:pStyle w:val="ListParagraph"/>
        <w:numPr>
          <w:ilvl w:val="0"/>
          <w:numId w:val="8"/>
        </w:numPr>
        <w:jc w:val="both"/>
      </w:pPr>
      <w:r w:rsidRPr="00693483">
        <w:rPr>
          <w:lang w:val="en-GB"/>
        </w:rPr>
        <w:t>Integrated Pest Management (IPM)</w:t>
      </w:r>
    </w:p>
    <w:p w14:paraId="73474BC8" w14:textId="77777777" w:rsidR="00693483" w:rsidRPr="00693483" w:rsidRDefault="00693483" w:rsidP="00693483">
      <w:pPr>
        <w:pStyle w:val="ListParagraph"/>
        <w:numPr>
          <w:ilvl w:val="0"/>
          <w:numId w:val="8"/>
        </w:numPr>
        <w:jc w:val="both"/>
      </w:pPr>
      <w:r w:rsidRPr="00693483">
        <w:rPr>
          <w:lang w:val="en-GB"/>
        </w:rPr>
        <w:t>Non-professional users</w:t>
      </w:r>
    </w:p>
    <w:p w14:paraId="57E7FB8E" w14:textId="376E4F6C" w:rsidR="00693483" w:rsidRPr="00693483" w:rsidRDefault="00693483" w:rsidP="00693483">
      <w:pPr>
        <w:pStyle w:val="ListParagraph"/>
        <w:numPr>
          <w:ilvl w:val="0"/>
          <w:numId w:val="8"/>
        </w:numPr>
        <w:rPr>
          <w:lang w:val="en-GB"/>
        </w:rPr>
      </w:pPr>
      <w:r w:rsidRPr="00693483">
        <w:rPr>
          <w:lang w:val="en-GB"/>
        </w:rPr>
        <w:t>Training</w:t>
      </w:r>
    </w:p>
    <w:p w14:paraId="1DE9A167" w14:textId="5DA997F3" w:rsidR="00693483" w:rsidRPr="00693483" w:rsidRDefault="00693483" w:rsidP="00693483">
      <w:pPr>
        <w:pStyle w:val="ListParagraph"/>
        <w:numPr>
          <w:ilvl w:val="0"/>
          <w:numId w:val="8"/>
        </w:numPr>
        <w:rPr>
          <w:lang w:val="en-GB"/>
        </w:rPr>
      </w:pPr>
      <w:r w:rsidRPr="00693483">
        <w:rPr>
          <w:lang w:val="en-GB"/>
        </w:rPr>
        <w:t>Aerial spraying</w:t>
      </w:r>
    </w:p>
    <w:p w14:paraId="4E373046" w14:textId="342B5F1D" w:rsidR="00693483" w:rsidRPr="00693483" w:rsidRDefault="00693483" w:rsidP="00693483">
      <w:pPr>
        <w:pStyle w:val="ListParagraph"/>
        <w:numPr>
          <w:ilvl w:val="0"/>
          <w:numId w:val="8"/>
        </w:numPr>
        <w:rPr>
          <w:lang w:val="en-GB"/>
        </w:rPr>
      </w:pPr>
      <w:r w:rsidRPr="00693483">
        <w:rPr>
          <w:lang w:val="en-GB"/>
        </w:rPr>
        <w:t>Harmonised Risk Indicators</w:t>
      </w:r>
    </w:p>
    <w:p w14:paraId="42591BEB" w14:textId="77777777" w:rsidR="00A13678" w:rsidRDefault="00A13678" w:rsidP="006A1408">
      <w:pPr>
        <w:jc w:val="both"/>
        <w:rPr>
          <w:b/>
          <w:lang w:val="en-GB"/>
        </w:rPr>
      </w:pPr>
    </w:p>
    <w:p w14:paraId="0D072F6E" w14:textId="68FC9801" w:rsidR="002C2162" w:rsidRPr="002C2162" w:rsidRDefault="002C2162" w:rsidP="002C2162">
      <w:pPr>
        <w:jc w:val="both"/>
        <w:rPr>
          <w:b/>
        </w:rPr>
      </w:pPr>
      <w:r w:rsidRPr="002C2162">
        <w:rPr>
          <w:b/>
        </w:rPr>
        <w:t>General Statement</w:t>
      </w:r>
    </w:p>
    <w:p w14:paraId="6B6D55E1" w14:textId="7E5EA134" w:rsidR="002C2162" w:rsidRPr="00AF565C" w:rsidRDefault="002C2162" w:rsidP="002C2162">
      <w:pPr>
        <w:jc w:val="both"/>
      </w:pPr>
      <w:r>
        <w:t xml:space="preserve">IBMA welcomes that </w:t>
      </w:r>
      <w:r w:rsidRPr="004133F2">
        <w:t xml:space="preserve">the </w:t>
      </w:r>
      <w:r w:rsidRPr="00693483">
        <w:rPr>
          <w:b/>
        </w:rPr>
        <w:t>Directive is being upgraded to a Regulation</w:t>
      </w:r>
      <w:r w:rsidRPr="004133F2">
        <w:t>, which will certainly give it an implementation force that is quite different to its previous position as a Directive.</w:t>
      </w:r>
      <w:r>
        <w:t xml:space="preserve"> IBMA also welcomes </w:t>
      </w:r>
      <w:r w:rsidRPr="004133F2">
        <w:t xml:space="preserve">the </w:t>
      </w:r>
      <w:r w:rsidRPr="00693483">
        <w:rPr>
          <w:b/>
        </w:rPr>
        <w:t>coherence with the CAP Strategic Plans</w:t>
      </w:r>
      <w:r w:rsidRPr="004133F2">
        <w:t xml:space="preserve"> </w:t>
      </w:r>
      <w:r w:rsidRPr="00144689">
        <w:t>(Article 8(1))</w:t>
      </w:r>
      <w:r>
        <w:t xml:space="preserve"> </w:t>
      </w:r>
      <w:r w:rsidRPr="004133F2">
        <w:t>as MSs may apply financial incentives or mitigation to offset some impacts.</w:t>
      </w:r>
      <w:r>
        <w:t xml:space="preserve"> </w:t>
      </w:r>
    </w:p>
    <w:p w14:paraId="31E3A2FA" w14:textId="77777777" w:rsidR="002C2162" w:rsidRPr="00766604" w:rsidRDefault="002C2162" w:rsidP="006A1408">
      <w:pPr>
        <w:jc w:val="both"/>
        <w:rPr>
          <w:b/>
        </w:rPr>
      </w:pPr>
    </w:p>
    <w:p w14:paraId="0774DB42" w14:textId="77777777" w:rsidR="00766604" w:rsidRDefault="00766604" w:rsidP="006A1408">
      <w:pPr>
        <w:jc w:val="both"/>
        <w:rPr>
          <w:b/>
          <w:lang w:val="en-GB"/>
        </w:rPr>
      </w:pPr>
    </w:p>
    <w:p w14:paraId="0955B05A" w14:textId="40DA0815" w:rsidR="006A1408" w:rsidRPr="006A1408" w:rsidRDefault="00B132AC" w:rsidP="006A1408">
      <w:pPr>
        <w:jc w:val="both"/>
        <w:rPr>
          <w:b/>
          <w:lang w:val="en-GB"/>
        </w:rPr>
      </w:pPr>
      <w:r>
        <w:rPr>
          <w:b/>
          <w:lang w:val="en-GB"/>
        </w:rPr>
        <w:t xml:space="preserve">Definition of </w:t>
      </w:r>
      <w:r w:rsidR="006A1408">
        <w:rPr>
          <w:b/>
          <w:lang w:val="en-GB"/>
        </w:rPr>
        <w:t xml:space="preserve">Biological control </w:t>
      </w:r>
    </w:p>
    <w:p w14:paraId="12380C5C" w14:textId="5C3F5BD5" w:rsidR="00BB3442" w:rsidRDefault="002C2162" w:rsidP="00693483">
      <w:pPr>
        <w:jc w:val="both"/>
        <w:rPr>
          <w:lang w:val="en-GB"/>
        </w:rPr>
      </w:pPr>
      <w:r>
        <w:t xml:space="preserve">IBMA welcomes the recognition of biological control as a specific form of </w:t>
      </w:r>
      <w:r w:rsidR="00D94C39">
        <w:t>p</w:t>
      </w:r>
      <w:r w:rsidR="00BB3442" w:rsidRPr="00D94C39">
        <w:t>lant protection</w:t>
      </w:r>
      <w:r w:rsidR="00BB3442">
        <w:t xml:space="preserve"> </w:t>
      </w:r>
      <w:r>
        <w:t xml:space="preserve">through </w:t>
      </w:r>
      <w:r w:rsidR="00693483">
        <w:t>a</w:t>
      </w:r>
      <w:r w:rsidR="007515C5" w:rsidRPr="00574998">
        <w:t xml:space="preserve">n EU </w:t>
      </w:r>
      <w:r w:rsidR="007515C5" w:rsidRPr="00693483">
        <w:rPr>
          <w:b/>
        </w:rPr>
        <w:t>definition of ‘biological control’</w:t>
      </w:r>
      <w:r w:rsidR="007515C5" w:rsidRPr="00574998">
        <w:t xml:space="preserve"> </w:t>
      </w:r>
      <w:r>
        <w:t>including</w:t>
      </w:r>
      <w:r w:rsidR="007515C5" w:rsidRPr="00574998">
        <w:t xml:space="preserve"> the four categories of biocontrol </w:t>
      </w:r>
      <w:r w:rsidR="009A7B96" w:rsidRPr="00730368">
        <w:t>(Article 3(23))</w:t>
      </w:r>
      <w:r w:rsidR="007515C5" w:rsidRPr="0023523D">
        <w:t>.</w:t>
      </w:r>
      <w:r w:rsidR="007515C5" w:rsidRPr="00574998">
        <w:t xml:space="preserve"> </w:t>
      </w:r>
      <w:r w:rsidR="003761B4">
        <w:t xml:space="preserve">These categories are: </w:t>
      </w:r>
      <w:r w:rsidR="003761B4" w:rsidRPr="00693483">
        <w:rPr>
          <w:lang w:val="en-GB"/>
        </w:rPr>
        <w:t>invertebrate biocontrol agents, microbials, semiochemicals and natural substances.</w:t>
      </w:r>
      <w:r w:rsidR="00D94C39">
        <w:rPr>
          <w:lang w:val="en-GB"/>
        </w:rPr>
        <w:t xml:space="preserve"> The definition of ‘biological control’ should be extended to also cover peptides and minerals and then read as follows: </w:t>
      </w:r>
      <w:r w:rsidR="00BB3442" w:rsidRPr="00BB3442">
        <w:rPr>
          <w:lang w:val="en-GB"/>
        </w:rPr>
        <w:t>‘biological control’ means the control of organisms harmful to plants or plant products using natural means of biological origin or substances identical to them, such as micro-organisms, semiochemicals, extracts from plant products as defined in Article 3(6) of Regulation (EC) No 1107/2009, or invertebrate macro-organisms</w:t>
      </w:r>
      <w:r w:rsidR="00BB3442" w:rsidRPr="00BB3442">
        <w:t xml:space="preserve"> </w:t>
      </w:r>
      <w:r w:rsidR="00BB3442" w:rsidRPr="00766604">
        <w:rPr>
          <w:i/>
          <w:lang w:val="en-GB"/>
        </w:rPr>
        <w:t xml:space="preserve">and including peptides and </w:t>
      </w:r>
      <w:r w:rsidR="00D94C39" w:rsidRPr="00D94C39">
        <w:rPr>
          <w:i/>
          <w:lang w:val="en-GB"/>
        </w:rPr>
        <w:t>minerals</w:t>
      </w:r>
      <w:r w:rsidR="00BB3442" w:rsidRPr="00BB3442">
        <w:rPr>
          <w:lang w:val="en-GB"/>
        </w:rPr>
        <w:t>.</w:t>
      </w:r>
    </w:p>
    <w:p w14:paraId="679056C5" w14:textId="68C24AA3" w:rsidR="00EC4AC0" w:rsidRPr="001C1960" w:rsidRDefault="00EC4AC0" w:rsidP="0036247B">
      <w:pPr>
        <w:jc w:val="both"/>
      </w:pPr>
      <w:r w:rsidRPr="00574998">
        <w:t xml:space="preserve">The </w:t>
      </w:r>
      <w:r>
        <w:t>text</w:t>
      </w:r>
      <w:r w:rsidRPr="00574998">
        <w:t xml:space="preserve"> </w:t>
      </w:r>
      <w:r w:rsidR="0036247B">
        <w:t xml:space="preserve">of the Regulation </w:t>
      </w:r>
      <w:r w:rsidRPr="00574998">
        <w:t xml:space="preserve">contains mainly references to </w:t>
      </w:r>
      <w:r w:rsidRPr="0036247B">
        <w:rPr>
          <w:b/>
        </w:rPr>
        <w:t>‘low-risk’ products</w:t>
      </w:r>
      <w:r w:rsidRPr="00574998">
        <w:t xml:space="preserve"> as products that preferably should be used</w:t>
      </w:r>
      <w:r w:rsidR="00D86744">
        <w:t xml:space="preserve"> (</w:t>
      </w:r>
      <w:r w:rsidR="00045055">
        <w:t>e.g. Article 15(6), Article 22(3), Article 24(4)</w:t>
      </w:r>
      <w:r w:rsidR="00D86744">
        <w:t>)</w:t>
      </w:r>
      <w:r w:rsidRPr="00574998">
        <w:t>. IBMA advocates that this should be extended to biocontrol products as (i) biocontrol products in general are considered safe; (ii) the majority of biocontrol products not yet have been evaluated for ‘low-risk’; (iii) the current number of low-risk products is insufficient to replace chemical products; and (iv) the current procedure to distinguish between ‘low-risk active substances and ‘low-risk products’ is considered too complicated.</w:t>
      </w:r>
      <w:r>
        <w:t xml:space="preserve"> </w:t>
      </w:r>
      <w:r w:rsidR="00763938">
        <w:t xml:space="preserve">An additional argument to consider biocontrol products as </w:t>
      </w:r>
      <w:r w:rsidR="00763938" w:rsidRPr="00763938">
        <w:t xml:space="preserve">products that preferably should be used </w:t>
      </w:r>
      <w:r w:rsidR="00763938">
        <w:t xml:space="preserve">is that </w:t>
      </w:r>
      <w:r>
        <w:t xml:space="preserve">the majority </w:t>
      </w:r>
      <w:r w:rsidR="00763938">
        <w:t>of biocontrol</w:t>
      </w:r>
      <w:r>
        <w:t xml:space="preserve"> substances is l</w:t>
      </w:r>
      <w:r w:rsidRPr="008C75EE">
        <w:t xml:space="preserve">isted as ‘provisionally low risk’ according to </w:t>
      </w:r>
      <w:r w:rsidRPr="0036247B">
        <w:rPr>
          <w:i/>
        </w:rPr>
        <w:t>COMMISSION NOTICE concerning a list of potentially low-risk active substances approved for use in plant protection (2018/C 265/02)</w:t>
      </w:r>
      <w:r w:rsidRPr="008C75EE">
        <w:t xml:space="preserve">. </w:t>
      </w:r>
    </w:p>
    <w:p w14:paraId="6D1D1694" w14:textId="5757B66B" w:rsidR="00EC4AC0" w:rsidRPr="00EC4AC0" w:rsidRDefault="00EC4AC0" w:rsidP="00EC4AC0">
      <w:pPr>
        <w:spacing w:after="0" w:line="240" w:lineRule="auto"/>
        <w:jc w:val="both"/>
        <w:rPr>
          <w:lang w:val="en-GB"/>
        </w:rPr>
      </w:pPr>
    </w:p>
    <w:p w14:paraId="07EE5858" w14:textId="4EE4E5D1" w:rsidR="00B045F6" w:rsidRPr="006A1408" w:rsidRDefault="00B045F6" w:rsidP="00B045F6">
      <w:pPr>
        <w:jc w:val="both"/>
        <w:rPr>
          <w:b/>
          <w:lang w:val="en-GB"/>
        </w:rPr>
      </w:pPr>
      <w:r>
        <w:rPr>
          <w:b/>
          <w:lang w:val="en-GB"/>
        </w:rPr>
        <w:t>Sensitive areas</w:t>
      </w:r>
    </w:p>
    <w:p w14:paraId="42CEF0A9" w14:textId="0A32FA92" w:rsidR="00D41482" w:rsidRPr="006A3247" w:rsidRDefault="005F0871" w:rsidP="006A3247">
      <w:pPr>
        <w:jc w:val="both"/>
        <w:rPr>
          <w:lang w:val="en-GB"/>
        </w:rPr>
      </w:pPr>
      <w:r>
        <w:rPr>
          <w:lang w:val="en-GB"/>
        </w:rPr>
        <w:t>T</w:t>
      </w:r>
      <w:r w:rsidR="006A3247">
        <w:rPr>
          <w:lang w:val="en-GB"/>
        </w:rPr>
        <w:t>h</w:t>
      </w:r>
      <w:r w:rsidR="00EC4AC0" w:rsidRPr="006A3247">
        <w:rPr>
          <w:lang w:val="en-GB"/>
        </w:rPr>
        <w:t xml:space="preserve">e use of </w:t>
      </w:r>
      <w:r w:rsidR="00EC4AC0" w:rsidRPr="006A3247">
        <w:rPr>
          <w:b/>
          <w:lang w:val="en-GB"/>
        </w:rPr>
        <w:t>biocontrol (including invertebrate macro-organisms) as well as low-risk PPPs</w:t>
      </w:r>
      <w:r w:rsidR="00EC4AC0" w:rsidRPr="006A3247">
        <w:rPr>
          <w:lang w:val="en-GB"/>
        </w:rPr>
        <w:t xml:space="preserve"> should be permitted in </w:t>
      </w:r>
      <w:r w:rsidR="00EC4AC0" w:rsidRPr="006A3247">
        <w:rPr>
          <w:b/>
          <w:lang w:val="en-GB"/>
        </w:rPr>
        <w:t>sensitive areas</w:t>
      </w:r>
      <w:r w:rsidR="00D86744">
        <w:rPr>
          <w:b/>
          <w:lang w:val="en-GB"/>
        </w:rPr>
        <w:t xml:space="preserve"> </w:t>
      </w:r>
      <w:r w:rsidR="00D86744">
        <w:rPr>
          <w:lang w:val="en-GB"/>
        </w:rPr>
        <w:t>as the current text now states that “</w:t>
      </w:r>
      <w:r w:rsidR="00D86744" w:rsidRPr="00D86744">
        <w:rPr>
          <w:i/>
        </w:rPr>
        <w:t>The use of all plant protection products is prohibited in all sensitive areas and within 3 meters of such areas</w:t>
      </w:r>
      <w:r w:rsidR="00D86744">
        <w:t>” (Article 18(1))</w:t>
      </w:r>
      <w:r w:rsidR="00EC4AC0" w:rsidRPr="006A3247">
        <w:rPr>
          <w:lang w:val="en-GB"/>
        </w:rPr>
        <w:t xml:space="preserve">. </w:t>
      </w:r>
      <w:r w:rsidR="00D41482" w:rsidRPr="006A3247">
        <w:rPr>
          <w:lang w:val="en-GB"/>
        </w:rPr>
        <w:t xml:space="preserve">As a </w:t>
      </w:r>
      <w:r w:rsidR="006A3247">
        <w:rPr>
          <w:lang w:val="en-GB"/>
        </w:rPr>
        <w:t xml:space="preserve">general </w:t>
      </w:r>
      <w:r w:rsidR="00D41482" w:rsidRPr="006A3247">
        <w:rPr>
          <w:lang w:val="en-GB"/>
        </w:rPr>
        <w:t xml:space="preserve">principle biocontrol products should be allowed to be used in </w:t>
      </w:r>
      <w:r w:rsidR="006A3247">
        <w:rPr>
          <w:lang w:val="en-GB"/>
        </w:rPr>
        <w:t xml:space="preserve">all </w:t>
      </w:r>
      <w:r w:rsidR="00D41482" w:rsidRPr="006A3247">
        <w:rPr>
          <w:lang w:val="en-GB"/>
        </w:rPr>
        <w:t>areas used by the general public, such as a public park or garden, recreation or sports grounds, or a public path.</w:t>
      </w:r>
      <w:r w:rsidRPr="005F0871">
        <w:t xml:space="preserve"> </w:t>
      </w:r>
      <w:r w:rsidR="00BB3442">
        <w:t xml:space="preserve">Biocontrol should also be used in farms located in </w:t>
      </w:r>
      <w:r w:rsidR="00BB3442">
        <w:rPr>
          <w:lang w:val="en-GB"/>
        </w:rPr>
        <w:t xml:space="preserve">ecologically sensitive area as it is today. </w:t>
      </w:r>
      <w:r>
        <w:t xml:space="preserve">In this respect, it is recommended to distinguish between </w:t>
      </w:r>
      <w:r w:rsidR="00D94C39" w:rsidRPr="00D94C39">
        <w:rPr>
          <w:lang w:val="en-GB"/>
        </w:rPr>
        <w:t>“sensitive areas relating to human activity e.g. public spaces”</w:t>
      </w:r>
      <w:r w:rsidRPr="005F0871">
        <w:rPr>
          <w:lang w:val="en-GB"/>
        </w:rPr>
        <w:t xml:space="preserve"> and </w:t>
      </w:r>
      <w:r w:rsidR="004E60F8">
        <w:rPr>
          <w:lang w:val="en-GB"/>
        </w:rPr>
        <w:t>“</w:t>
      </w:r>
      <w:r w:rsidRPr="005F0871">
        <w:rPr>
          <w:lang w:val="en-GB"/>
        </w:rPr>
        <w:t>ecologically sensitive area</w:t>
      </w:r>
      <w:r w:rsidR="004E60F8">
        <w:rPr>
          <w:lang w:val="en-GB"/>
        </w:rPr>
        <w:t>s”</w:t>
      </w:r>
      <w:r w:rsidRPr="005F0871">
        <w:rPr>
          <w:lang w:val="en-GB"/>
        </w:rPr>
        <w:t>.</w:t>
      </w:r>
    </w:p>
    <w:p w14:paraId="4AF3514F" w14:textId="6F91F9DE" w:rsidR="00A93900" w:rsidRDefault="00A93900" w:rsidP="00A93900">
      <w:pPr>
        <w:pStyle w:val="ListParagraph"/>
        <w:rPr>
          <w:lang w:val="en-GB"/>
        </w:rPr>
      </w:pPr>
    </w:p>
    <w:p w14:paraId="11364262" w14:textId="41768BE0" w:rsidR="00A93900" w:rsidRPr="006A1408" w:rsidRDefault="0081396B" w:rsidP="00A93900">
      <w:pPr>
        <w:jc w:val="both"/>
        <w:rPr>
          <w:b/>
          <w:lang w:val="en-GB"/>
        </w:rPr>
      </w:pPr>
      <w:r>
        <w:rPr>
          <w:b/>
          <w:lang w:val="en-GB"/>
        </w:rPr>
        <w:t>(</w:t>
      </w:r>
      <w:r w:rsidR="00A93900">
        <w:rPr>
          <w:b/>
          <w:lang w:val="en-GB"/>
        </w:rPr>
        <w:t>Positive</w:t>
      </w:r>
      <w:r>
        <w:rPr>
          <w:b/>
          <w:lang w:val="en-GB"/>
        </w:rPr>
        <w:t>)</w:t>
      </w:r>
      <w:r w:rsidR="00A93900">
        <w:rPr>
          <w:b/>
          <w:lang w:val="en-GB"/>
        </w:rPr>
        <w:t xml:space="preserve"> targets</w:t>
      </w:r>
    </w:p>
    <w:p w14:paraId="24C0C095" w14:textId="5A49FFE9" w:rsidR="00A93900" w:rsidRPr="004C6854" w:rsidRDefault="0000371A" w:rsidP="006A3247">
      <w:pPr>
        <w:spacing w:after="0" w:line="240" w:lineRule="auto"/>
        <w:jc w:val="both"/>
      </w:pPr>
      <w:r w:rsidRPr="006A3247">
        <w:rPr>
          <w:lang w:val="en-GB"/>
        </w:rPr>
        <w:t xml:space="preserve">In the Regulation it is stated that each MS should include </w:t>
      </w:r>
      <w:r w:rsidRPr="006A3247">
        <w:rPr>
          <w:b/>
          <w:lang w:val="en-GB"/>
        </w:rPr>
        <w:t>a</w:t>
      </w:r>
      <w:r w:rsidR="00CC2ECB">
        <w:rPr>
          <w:b/>
          <w:lang w:val="en-GB"/>
        </w:rPr>
        <w:t>n indicative</w:t>
      </w:r>
      <w:r w:rsidRPr="006A3247">
        <w:rPr>
          <w:b/>
          <w:lang w:val="en-GB"/>
        </w:rPr>
        <w:t xml:space="preserve"> positive target for biocontrol in their NAPs</w:t>
      </w:r>
      <w:r w:rsidR="00E74859">
        <w:rPr>
          <w:b/>
          <w:lang w:val="en-GB"/>
        </w:rPr>
        <w:t xml:space="preserve"> </w:t>
      </w:r>
      <w:r w:rsidR="00E74859" w:rsidRPr="00E74859">
        <w:rPr>
          <w:lang w:val="en-GB"/>
        </w:rPr>
        <w:t xml:space="preserve">(Article </w:t>
      </w:r>
      <w:r w:rsidR="009458B1">
        <w:rPr>
          <w:lang w:val="en-GB"/>
        </w:rPr>
        <w:t>9</w:t>
      </w:r>
      <w:r w:rsidR="00E74859" w:rsidRPr="00E74859">
        <w:rPr>
          <w:lang w:val="en-GB"/>
        </w:rPr>
        <w:t>)</w:t>
      </w:r>
      <w:r w:rsidRPr="00E74859">
        <w:rPr>
          <w:lang w:val="en-GB"/>
        </w:rPr>
        <w:t>.</w:t>
      </w:r>
      <w:r w:rsidRPr="006A3247">
        <w:rPr>
          <w:lang w:val="en-GB"/>
        </w:rPr>
        <w:t xml:space="preserve"> </w:t>
      </w:r>
      <w:r w:rsidR="00CC2ECB">
        <w:rPr>
          <w:lang w:val="en-GB"/>
        </w:rPr>
        <w:t>IBMA recognizes the reduction targets and asks for an equivalent</w:t>
      </w:r>
      <w:r w:rsidR="00CC2ECB">
        <w:t xml:space="preserve"> positive target to provide legal clarity for investment in biocontrol in Europe. I</w:t>
      </w:r>
      <w:r w:rsidR="009A454D" w:rsidRPr="00C005CB">
        <w:t xml:space="preserve">BMA advocates </w:t>
      </w:r>
      <w:r w:rsidR="00CC2ECB">
        <w:t xml:space="preserve">that </w:t>
      </w:r>
      <w:r w:rsidR="009A454D" w:rsidRPr="00C005CB">
        <w:t xml:space="preserve">a </w:t>
      </w:r>
      <w:r w:rsidR="009A454D" w:rsidRPr="006A3247">
        <w:rPr>
          <w:b/>
        </w:rPr>
        <w:t xml:space="preserve">75% </w:t>
      </w:r>
      <w:r w:rsidR="008C409C">
        <w:rPr>
          <w:b/>
        </w:rPr>
        <w:t xml:space="preserve">positive </w:t>
      </w:r>
      <w:r w:rsidR="009A454D" w:rsidRPr="006A3247">
        <w:rPr>
          <w:b/>
        </w:rPr>
        <w:t>target for biocontrol</w:t>
      </w:r>
      <w:r w:rsidR="009A454D" w:rsidRPr="00C005CB">
        <w:t xml:space="preserve"> at EU level </w:t>
      </w:r>
      <w:r w:rsidR="00CC2ECB">
        <w:t xml:space="preserve">would be necessary </w:t>
      </w:r>
      <w:r w:rsidR="009A454D" w:rsidRPr="00C005CB">
        <w:t xml:space="preserve">to achieve the </w:t>
      </w:r>
      <w:r w:rsidR="00CC2ECB">
        <w:t xml:space="preserve">full </w:t>
      </w:r>
      <w:r w:rsidR="009A454D" w:rsidRPr="00C005CB">
        <w:t>agro</w:t>
      </w:r>
      <w:r w:rsidR="009A454D">
        <w:t>-</w:t>
      </w:r>
      <w:r w:rsidR="009A454D" w:rsidRPr="00C005CB">
        <w:t>ecological transition</w:t>
      </w:r>
      <w:r w:rsidR="009A454D" w:rsidRPr="006A3247">
        <w:rPr>
          <w:lang w:val="en-GB"/>
        </w:rPr>
        <w:t xml:space="preserve">. </w:t>
      </w:r>
      <w:r w:rsidR="008C409C">
        <w:rPr>
          <w:lang w:val="en-GB"/>
        </w:rPr>
        <w:t>To measure this</w:t>
      </w:r>
      <w:r w:rsidR="009A454D" w:rsidRPr="006A3247">
        <w:rPr>
          <w:lang w:val="en-GB"/>
        </w:rPr>
        <w:t xml:space="preserve"> indicator </w:t>
      </w:r>
      <w:r w:rsidR="009458B1">
        <w:rPr>
          <w:lang w:val="en-GB"/>
        </w:rPr>
        <w:t>IBMA proposes</w:t>
      </w:r>
      <w:r w:rsidR="009A454D" w:rsidRPr="005C15D5">
        <w:rPr>
          <w:lang w:val="en-GB"/>
        </w:rPr>
        <w:t xml:space="preserve"> to use the increase of the % of biological control PPPs used of the total of all PPPs used</w:t>
      </w:r>
      <w:r w:rsidR="009A454D" w:rsidRPr="006A3247">
        <w:rPr>
          <w:lang w:val="en-GB"/>
        </w:rPr>
        <w:t xml:space="preserve">. In order to identify and measure the increase of the use of biological control PPPs and invertebrate macro-organisms a list with authorised biocontrol products should be established at national level (and EU level). </w:t>
      </w:r>
      <w:r w:rsidR="006455D9" w:rsidRPr="006A3247">
        <w:rPr>
          <w:lang w:val="en-GB"/>
        </w:rPr>
        <w:t xml:space="preserve">Alternatively, the </w:t>
      </w:r>
      <w:r w:rsidR="006455D9" w:rsidRPr="006A3247">
        <w:rPr>
          <w:b/>
          <w:lang w:val="en-GB"/>
        </w:rPr>
        <w:t>national authorisation database</w:t>
      </w:r>
      <w:r w:rsidR="006455D9" w:rsidRPr="006A3247">
        <w:rPr>
          <w:lang w:val="en-GB"/>
        </w:rPr>
        <w:t xml:space="preserve"> of products can be adapted to identify and facilitate searching for biocontrol solutions. </w:t>
      </w:r>
      <w:r w:rsidRPr="006A3247">
        <w:rPr>
          <w:lang w:val="en-GB"/>
        </w:rPr>
        <w:t>An overview of</w:t>
      </w:r>
      <w:r w:rsidR="006455D9" w:rsidRPr="006A3247">
        <w:rPr>
          <w:lang w:val="en-GB"/>
        </w:rPr>
        <w:t xml:space="preserve"> authorised biocontrol solutions </w:t>
      </w:r>
      <w:r w:rsidR="00A93900" w:rsidRPr="006A3247">
        <w:rPr>
          <w:lang w:val="en-GB"/>
        </w:rPr>
        <w:t xml:space="preserve">should already be prepared prior to entry into force of the Regulation to have this information available </w:t>
      </w:r>
      <w:r w:rsidRPr="006A3247">
        <w:rPr>
          <w:lang w:val="en-GB"/>
        </w:rPr>
        <w:t xml:space="preserve">to be considered </w:t>
      </w:r>
      <w:r w:rsidR="00A93900" w:rsidRPr="006A3247">
        <w:rPr>
          <w:lang w:val="en-GB"/>
        </w:rPr>
        <w:t xml:space="preserve">as </w:t>
      </w:r>
      <w:r w:rsidR="00A93900" w:rsidRPr="006A3247">
        <w:rPr>
          <w:b/>
          <w:lang w:val="en-GB"/>
        </w:rPr>
        <w:t xml:space="preserve">alternatives to ‘the 5 chemical active substances that most strongly influence </w:t>
      </w:r>
      <w:r w:rsidR="00A93900" w:rsidRPr="006A3247">
        <w:rPr>
          <w:lang w:val="en-GB"/>
        </w:rPr>
        <w:t>the trend of the reduction in the use of chemical PPPs’</w:t>
      </w:r>
      <w:r w:rsidR="009458B1">
        <w:rPr>
          <w:lang w:val="en-GB"/>
        </w:rPr>
        <w:t xml:space="preserve"> (Article</w:t>
      </w:r>
      <w:r w:rsidR="004873AC">
        <w:rPr>
          <w:lang w:val="en-GB"/>
        </w:rPr>
        <w:t xml:space="preserve"> 9(1)</w:t>
      </w:r>
      <w:r w:rsidR="00A93900" w:rsidRPr="006A3247">
        <w:rPr>
          <w:lang w:val="en-GB"/>
        </w:rPr>
        <w:t xml:space="preserve">. </w:t>
      </w:r>
      <w:r w:rsidR="003F09A5">
        <w:rPr>
          <w:lang w:val="en-GB"/>
        </w:rPr>
        <w:t>IBMA</w:t>
      </w:r>
      <w:r w:rsidR="00A93900" w:rsidRPr="006A3247">
        <w:rPr>
          <w:lang w:val="en-GB"/>
        </w:rPr>
        <w:t xml:space="preserve"> recommend</w:t>
      </w:r>
      <w:r w:rsidR="003F09A5">
        <w:rPr>
          <w:lang w:val="en-GB"/>
        </w:rPr>
        <w:t>s</w:t>
      </w:r>
      <w:r w:rsidR="00A93900" w:rsidRPr="006A3247">
        <w:rPr>
          <w:lang w:val="en-GB"/>
        </w:rPr>
        <w:t xml:space="preserve"> to develop a harmonized procedure </w:t>
      </w:r>
      <w:r w:rsidR="008C409C">
        <w:rPr>
          <w:lang w:val="en-GB"/>
        </w:rPr>
        <w:t xml:space="preserve">at EU level </w:t>
      </w:r>
      <w:r w:rsidR="00A93900" w:rsidRPr="006A3247">
        <w:rPr>
          <w:lang w:val="en-GB"/>
        </w:rPr>
        <w:t>and set criteria how to determine ‘</w:t>
      </w:r>
      <w:r w:rsidR="00A93900" w:rsidRPr="006A3247">
        <w:rPr>
          <w:i/>
          <w:lang w:val="en-GB"/>
        </w:rPr>
        <w:t>most strongly influence</w:t>
      </w:r>
      <w:r w:rsidR="00A93900" w:rsidRPr="006A3247">
        <w:rPr>
          <w:lang w:val="en-GB"/>
        </w:rPr>
        <w:t>’.</w:t>
      </w:r>
    </w:p>
    <w:p w14:paraId="2AF93B8C" w14:textId="77777777" w:rsidR="004C6854" w:rsidRPr="003761B4" w:rsidRDefault="004C6854" w:rsidP="004C6854">
      <w:pPr>
        <w:pStyle w:val="ListParagraph"/>
        <w:spacing w:after="0" w:line="240" w:lineRule="auto"/>
        <w:jc w:val="both"/>
      </w:pPr>
    </w:p>
    <w:p w14:paraId="021398B0" w14:textId="6FEBC96B" w:rsidR="003761B4" w:rsidRPr="00A40EAF" w:rsidRDefault="003761B4" w:rsidP="00A45AE0">
      <w:pPr>
        <w:jc w:val="both"/>
        <w:rPr>
          <w:lang w:val="en-GB"/>
        </w:rPr>
      </w:pPr>
      <w:r w:rsidRPr="00A40EAF">
        <w:rPr>
          <w:lang w:val="en-GB"/>
        </w:rPr>
        <w:t xml:space="preserve">The Commission committed, in line with the Farm to Fork Strategy, </w:t>
      </w:r>
      <w:r w:rsidRPr="00A40EAF">
        <w:rPr>
          <w:i/>
          <w:lang w:val="en-GB"/>
        </w:rPr>
        <w:t>to take action to reduce by 50% the overall use and risk from chemical pesticides by 2030 and reduce by 50% the use of more hazardous pesticides by 2030</w:t>
      </w:r>
      <w:r w:rsidR="00E74859">
        <w:rPr>
          <w:i/>
          <w:lang w:val="en-GB"/>
        </w:rPr>
        <w:t xml:space="preserve"> (Article</w:t>
      </w:r>
      <w:r w:rsidR="0023523D">
        <w:rPr>
          <w:i/>
          <w:lang w:val="en-GB"/>
        </w:rPr>
        <w:t xml:space="preserve"> 4</w:t>
      </w:r>
      <w:r w:rsidR="00E74859">
        <w:rPr>
          <w:i/>
          <w:lang w:val="en-GB"/>
        </w:rPr>
        <w:t>(</w:t>
      </w:r>
      <w:r w:rsidR="0023523D">
        <w:rPr>
          <w:i/>
          <w:lang w:val="en-GB"/>
        </w:rPr>
        <w:t>1</w:t>
      </w:r>
      <w:r w:rsidR="00E74859">
        <w:rPr>
          <w:i/>
          <w:lang w:val="en-GB"/>
        </w:rPr>
        <w:t>))</w:t>
      </w:r>
      <w:r w:rsidRPr="00A40EAF">
        <w:rPr>
          <w:lang w:val="en-GB"/>
        </w:rPr>
        <w:t xml:space="preserve">. Biocontrol holds the greatest potential to achieve these targets, yet the EU’s implementation of Regulation (EC) No 1107/2009 applicable to </w:t>
      </w:r>
      <w:r w:rsidRPr="002113D2">
        <w:t>microbials, natural substances and semiochemicals</w:t>
      </w:r>
      <w:r w:rsidRPr="00A40EAF">
        <w:rPr>
          <w:lang w:val="en-GB"/>
        </w:rPr>
        <w:t xml:space="preserve"> results in multiple obstacles and consequently delays in getting biocontrol products into the hands of European farmer. The EU’s current snail-paced regulatory process is taking up to 10 years for biocontrol product authorisations</w:t>
      </w:r>
      <w:r w:rsidR="002113D2" w:rsidRPr="00A40EAF">
        <w:rPr>
          <w:lang w:val="en-GB"/>
        </w:rPr>
        <w:t xml:space="preserve"> a</w:t>
      </w:r>
      <w:r w:rsidR="00BB010E" w:rsidRPr="00A40EAF">
        <w:rPr>
          <w:lang w:val="en-GB"/>
        </w:rPr>
        <w:t xml:space="preserve">nd hence, it </w:t>
      </w:r>
      <w:r w:rsidR="004C6854" w:rsidRPr="00A40EAF">
        <w:rPr>
          <w:lang w:val="en-GB"/>
        </w:rPr>
        <w:t>may</w:t>
      </w:r>
      <w:r w:rsidR="00BB010E" w:rsidRPr="00A40EAF">
        <w:rPr>
          <w:lang w:val="en-GB"/>
        </w:rPr>
        <w:t xml:space="preserve"> be difficult</w:t>
      </w:r>
      <w:r w:rsidR="00A40EAF">
        <w:rPr>
          <w:lang w:val="en-GB"/>
        </w:rPr>
        <w:t xml:space="preserve">, if not impossible, </w:t>
      </w:r>
      <w:r w:rsidR="002113D2" w:rsidRPr="00A40EAF">
        <w:rPr>
          <w:lang w:val="en-GB"/>
        </w:rPr>
        <w:t>to meet the targets in the Farm to Fork Strategy</w:t>
      </w:r>
      <w:r w:rsidRPr="00A40EAF">
        <w:rPr>
          <w:lang w:val="en-GB"/>
        </w:rPr>
        <w:t>.</w:t>
      </w:r>
      <w:r w:rsidR="004F083B" w:rsidRPr="004F083B">
        <w:t xml:space="preserve"> </w:t>
      </w:r>
      <w:r w:rsidR="00453FC9">
        <w:t xml:space="preserve">To speed up the regulatory process and to increase coherency with the goals of this Sustainable Use Regulation </w:t>
      </w:r>
      <w:r w:rsidR="004F083B">
        <w:t xml:space="preserve">IBMA advocates a three step plan </w:t>
      </w:r>
      <w:r w:rsidR="00A45AE0">
        <w:t xml:space="preserve">(i) </w:t>
      </w:r>
      <w:r w:rsidR="00453FC9">
        <w:t>establishment of a b</w:t>
      </w:r>
      <w:r w:rsidR="00A45AE0">
        <w:t xml:space="preserve">iocontrol </w:t>
      </w:r>
      <w:r w:rsidR="00453FC9">
        <w:t>d</w:t>
      </w:r>
      <w:r w:rsidR="00A45AE0">
        <w:t xml:space="preserve">efinition (addressed by this Regulation) </w:t>
      </w:r>
      <w:r w:rsidR="004F083B">
        <w:t xml:space="preserve">(ii) </w:t>
      </w:r>
      <w:r w:rsidR="004F083B" w:rsidRPr="004F083B">
        <w:rPr>
          <w:lang w:val="en-GB"/>
        </w:rPr>
        <w:t>to implement Regulation (EC) No.  1107/2009 properly, in the way it was intended</w:t>
      </w:r>
      <w:r w:rsidR="00BB3442">
        <w:rPr>
          <w:lang w:val="en-GB"/>
        </w:rPr>
        <w:t xml:space="preserve"> and to prioritise this newly defined group within the authorisation process</w:t>
      </w:r>
      <w:r w:rsidR="004F083B" w:rsidRPr="004F083B">
        <w:rPr>
          <w:lang w:val="en-GB"/>
        </w:rPr>
        <w:t>. This will drastically shorten the time to market for biocontrol</w:t>
      </w:r>
      <w:r w:rsidR="00A45AE0">
        <w:rPr>
          <w:lang w:val="en-GB"/>
        </w:rPr>
        <w:t xml:space="preserve">, and (iii) </w:t>
      </w:r>
      <w:r w:rsidR="00A45AE0" w:rsidRPr="00A45AE0">
        <w:rPr>
          <w:lang w:val="en-GB"/>
        </w:rPr>
        <w:t>the development of a new and dedicated legislation for biocontrol products. The regulatory process should be fundamentally reshaped to be appropriate to biocontrol technologies and r</w:t>
      </w:r>
      <w:r w:rsidR="00A45AE0">
        <w:rPr>
          <w:lang w:val="en-GB"/>
        </w:rPr>
        <w:t>educe time to market to 2 years</w:t>
      </w:r>
      <w:r w:rsidR="004F083B" w:rsidRPr="004F083B">
        <w:rPr>
          <w:lang w:val="en-GB"/>
        </w:rPr>
        <w:t>.</w:t>
      </w:r>
    </w:p>
    <w:p w14:paraId="0B804474" w14:textId="283602B4" w:rsidR="00BB010E" w:rsidRPr="00A40EAF" w:rsidRDefault="002113D2" w:rsidP="00A40EAF">
      <w:pPr>
        <w:jc w:val="both"/>
        <w:rPr>
          <w:lang w:val="en-GB"/>
        </w:rPr>
      </w:pPr>
      <w:r w:rsidRPr="00A40EAF">
        <w:rPr>
          <w:lang w:val="en-GB"/>
        </w:rPr>
        <w:t>I</w:t>
      </w:r>
      <w:r w:rsidR="00BB010E" w:rsidRPr="00A40EAF">
        <w:rPr>
          <w:lang w:val="en-GB"/>
        </w:rPr>
        <w:t xml:space="preserve">n this context </w:t>
      </w:r>
      <w:r w:rsidRPr="00A40EAF">
        <w:rPr>
          <w:lang w:val="en-GB"/>
        </w:rPr>
        <w:t xml:space="preserve">BMA welcomes the </w:t>
      </w:r>
      <w:r w:rsidRPr="00A40EAF">
        <w:rPr>
          <w:b/>
          <w:lang w:val="en-GB"/>
        </w:rPr>
        <w:t>revised data requirements for micro-organisms</w:t>
      </w:r>
      <w:r w:rsidRPr="00A40EAF">
        <w:rPr>
          <w:lang w:val="en-GB"/>
        </w:rPr>
        <w:t xml:space="preserve"> that are considered crucial to the Farm to Fork initiative and to the delivery of new solutions to the farmers for the transition to sustainable agriculture. However, some improvements e.g. in terms of decision criteria and interpretation of the guidance document on secondary metabolites are considered necessary.</w:t>
      </w:r>
    </w:p>
    <w:p w14:paraId="64681562" w14:textId="3745A96D" w:rsidR="00BB3442" w:rsidRPr="00C005CB" w:rsidRDefault="00BB3442" w:rsidP="000C6EB1">
      <w:pPr>
        <w:spacing w:after="0" w:line="240" w:lineRule="auto"/>
        <w:jc w:val="both"/>
      </w:pPr>
      <w:r w:rsidRPr="00766604">
        <w:t xml:space="preserve">IBMA </w:t>
      </w:r>
      <w:r w:rsidR="00766604" w:rsidRPr="00766604">
        <w:t xml:space="preserve">welcomes </w:t>
      </w:r>
      <w:r w:rsidR="00C355F7" w:rsidRPr="00766604">
        <w:t>t</w:t>
      </w:r>
      <w:r w:rsidRPr="00766604">
        <w:t xml:space="preserve">he inclusion of </w:t>
      </w:r>
      <w:r w:rsidRPr="00766604">
        <w:rPr>
          <w:b/>
        </w:rPr>
        <w:t>biological control adoption measures</w:t>
      </w:r>
      <w:r w:rsidRPr="00766604">
        <w:t xml:space="preserve"> and </w:t>
      </w:r>
      <w:r w:rsidR="00C355F7" w:rsidRPr="00766604">
        <w:rPr>
          <w:b/>
        </w:rPr>
        <w:t xml:space="preserve">national indicative target for each “non-chemical method” </w:t>
      </w:r>
      <w:r w:rsidRPr="00766604">
        <w:t>in National Action Plans (Article 9) including a list of the obstacles to biocontrol and the steps being taken to remove these obstacles</w:t>
      </w:r>
      <w:r w:rsidR="00CC2ECB" w:rsidRPr="00766604">
        <w:t xml:space="preserve"> (Art. </w:t>
      </w:r>
      <w:r w:rsidR="006C2C39" w:rsidRPr="00766604">
        <w:t>9</w:t>
      </w:r>
      <w:r w:rsidR="00CC2ECB" w:rsidRPr="00766604">
        <w:t>(3)).</w:t>
      </w:r>
      <w:r w:rsidR="006C2C39" w:rsidRPr="006C2C39">
        <w:t xml:space="preserve"> </w:t>
      </w:r>
    </w:p>
    <w:p w14:paraId="10E333CD" w14:textId="77777777" w:rsidR="00D3634F" w:rsidRPr="003761B4" w:rsidRDefault="00D3634F" w:rsidP="00574998">
      <w:pPr>
        <w:jc w:val="both"/>
        <w:rPr>
          <w:b/>
        </w:rPr>
      </w:pPr>
    </w:p>
    <w:p w14:paraId="2FA671D4" w14:textId="44050D7C" w:rsidR="00574998" w:rsidRPr="00574998" w:rsidRDefault="00A9384B" w:rsidP="00574998">
      <w:pPr>
        <w:jc w:val="both"/>
      </w:pPr>
      <w:r w:rsidRPr="00574998">
        <w:rPr>
          <w:b/>
          <w:lang w:val="en-GB"/>
        </w:rPr>
        <w:t>Integrated Pest Management (IPM)</w:t>
      </w:r>
    </w:p>
    <w:p w14:paraId="612E4893" w14:textId="08060A28" w:rsidR="001465C1" w:rsidRPr="00260861" w:rsidRDefault="00574998" w:rsidP="008B1716">
      <w:pPr>
        <w:spacing w:after="0" w:line="240" w:lineRule="auto"/>
        <w:jc w:val="both"/>
      </w:pPr>
      <w:r w:rsidRPr="008B1716">
        <w:rPr>
          <w:lang w:val="en-GB"/>
        </w:rPr>
        <w:t xml:space="preserve">The definition of </w:t>
      </w:r>
      <w:r w:rsidRPr="008B1716">
        <w:rPr>
          <w:b/>
          <w:lang w:val="en-GB"/>
        </w:rPr>
        <w:t>Integrated Pest Management (IPM)</w:t>
      </w:r>
      <w:r w:rsidRPr="008B1716">
        <w:rPr>
          <w:lang w:val="en-GB"/>
        </w:rPr>
        <w:t xml:space="preserve"> has not really been ‘modernised’ </w:t>
      </w:r>
      <w:r w:rsidR="001F6147" w:rsidRPr="008B1716">
        <w:rPr>
          <w:lang w:val="en-GB"/>
        </w:rPr>
        <w:t>compared with the one in the Sustainable Use Directive</w:t>
      </w:r>
      <w:r w:rsidR="0023523D">
        <w:rPr>
          <w:lang w:val="en-GB"/>
        </w:rPr>
        <w:t xml:space="preserve"> (Article</w:t>
      </w:r>
      <w:r w:rsidR="00780B4B">
        <w:rPr>
          <w:lang w:val="en-GB"/>
        </w:rPr>
        <w:t xml:space="preserve"> 3(15))</w:t>
      </w:r>
      <w:r w:rsidR="008B1716">
        <w:rPr>
          <w:lang w:val="en-GB"/>
        </w:rPr>
        <w:t xml:space="preserve">. The definition of IPM </w:t>
      </w:r>
      <w:r w:rsidRPr="008B1716">
        <w:rPr>
          <w:lang w:val="en-GB"/>
        </w:rPr>
        <w:t xml:space="preserve">is still considered not strong enough as it should explicitly refer to </w:t>
      </w:r>
      <w:r w:rsidRPr="008B1716">
        <w:rPr>
          <w:b/>
          <w:lang w:val="en-GB"/>
        </w:rPr>
        <w:t>placing biology first</w:t>
      </w:r>
      <w:r w:rsidRPr="008B1716">
        <w:rPr>
          <w:lang w:val="en-GB"/>
        </w:rPr>
        <w:t xml:space="preserve"> and using chemicals only if essential. Only in Article 13(4) it is stated that “</w:t>
      </w:r>
      <w:r w:rsidRPr="008B1716">
        <w:rPr>
          <w:i/>
          <w:lang w:val="en-GB"/>
        </w:rPr>
        <w:t>Professional users shall use biological controls, physical and other non-chemical methods. Professional users may only use chemical methods if they are necessary to achieve acceptable levels of harmful organism control after all other non-chemical methods ….have been exhausted</w:t>
      </w:r>
      <w:r w:rsidRPr="008B1716">
        <w:rPr>
          <w:lang w:val="en-GB"/>
        </w:rPr>
        <w:t>”.</w:t>
      </w:r>
      <w:r w:rsidR="00CF4DBF" w:rsidRPr="008B1716">
        <w:rPr>
          <w:lang w:val="en-GB"/>
        </w:rPr>
        <w:t xml:space="preserve"> </w:t>
      </w:r>
    </w:p>
    <w:p w14:paraId="401021C7" w14:textId="77777777" w:rsidR="00260861" w:rsidRPr="00260861" w:rsidRDefault="00260861" w:rsidP="00260861">
      <w:pPr>
        <w:pStyle w:val="ListParagraph"/>
        <w:spacing w:after="0" w:line="240" w:lineRule="auto"/>
        <w:jc w:val="both"/>
      </w:pPr>
    </w:p>
    <w:p w14:paraId="7E0BC081" w14:textId="69A59768" w:rsidR="001F6147" w:rsidRPr="00533E9F" w:rsidRDefault="007629F1" w:rsidP="00533E9F">
      <w:pPr>
        <w:jc w:val="both"/>
        <w:rPr>
          <w:lang w:val="en-GB"/>
        </w:rPr>
      </w:pPr>
      <w:r w:rsidRPr="00533E9F">
        <w:rPr>
          <w:lang w:val="en-GB"/>
        </w:rPr>
        <w:t>It is also recommended that the definition of IPM reflects that IPM is ‘an ecosystem-based strategy’</w:t>
      </w:r>
      <w:r w:rsidR="00CF6DE6">
        <w:rPr>
          <w:lang w:val="en-GB"/>
        </w:rPr>
        <w:t xml:space="preserve"> or “nature-based strategy”</w:t>
      </w:r>
      <w:r w:rsidRPr="00533E9F">
        <w:rPr>
          <w:lang w:val="en-GB"/>
        </w:rPr>
        <w:t xml:space="preserve"> (or similar wording) than just a number of different measures. Such terminology </w:t>
      </w:r>
      <w:r w:rsidR="00533E9F">
        <w:rPr>
          <w:lang w:val="en-GB"/>
        </w:rPr>
        <w:t xml:space="preserve">would </w:t>
      </w:r>
      <w:r w:rsidRPr="00533E9F">
        <w:rPr>
          <w:lang w:val="en-GB"/>
        </w:rPr>
        <w:t xml:space="preserve">also fit better within the language used in the Farm-to-Fork Strategy. </w:t>
      </w:r>
      <w:r w:rsidR="00BF632A" w:rsidRPr="00533E9F">
        <w:rPr>
          <w:lang w:val="en-GB"/>
        </w:rPr>
        <w:t xml:space="preserve">In this respect also the contribution from IPM to the </w:t>
      </w:r>
      <w:r w:rsidR="00BF632A" w:rsidRPr="00533E9F">
        <w:rPr>
          <w:b/>
          <w:lang w:val="en-GB"/>
        </w:rPr>
        <w:t>EU Biodiversity Strategy for 2030</w:t>
      </w:r>
      <w:r w:rsidR="00BF632A" w:rsidRPr="00533E9F">
        <w:rPr>
          <w:lang w:val="en-GB"/>
        </w:rPr>
        <w:t xml:space="preserve"> </w:t>
      </w:r>
      <w:r w:rsidR="00271929">
        <w:rPr>
          <w:lang w:val="en-GB"/>
        </w:rPr>
        <w:t xml:space="preserve">(Recital 42) </w:t>
      </w:r>
      <w:r w:rsidR="00BF632A" w:rsidRPr="00533E9F">
        <w:rPr>
          <w:lang w:val="en-GB"/>
        </w:rPr>
        <w:t>and the functioning of ecosystems and ecosystem services should be more emphasized in the core text of the Regulation</w:t>
      </w:r>
      <w:r w:rsidR="001F6147" w:rsidRPr="00533E9F">
        <w:rPr>
          <w:lang w:val="en-GB"/>
        </w:rPr>
        <w:t xml:space="preserve"> and </w:t>
      </w:r>
      <w:r w:rsidR="001F6147" w:rsidRPr="00533E9F">
        <w:rPr>
          <w:b/>
          <w:lang w:val="en-GB"/>
        </w:rPr>
        <w:t>indicators for IPM</w:t>
      </w:r>
      <w:r w:rsidR="001F6147" w:rsidRPr="00533E9F">
        <w:rPr>
          <w:lang w:val="en-GB"/>
        </w:rPr>
        <w:t xml:space="preserve"> such as </w:t>
      </w:r>
      <w:r w:rsidR="00533E9F">
        <w:rPr>
          <w:lang w:val="en-GB"/>
        </w:rPr>
        <w:t xml:space="preserve">the </w:t>
      </w:r>
      <w:r w:rsidR="001F6147" w:rsidRPr="00533E9F">
        <w:rPr>
          <w:lang w:val="en-GB"/>
        </w:rPr>
        <w:t>presence of pollinators and beneficial invertebrates should be established in th</w:t>
      </w:r>
      <w:r w:rsidR="00533E9F">
        <w:rPr>
          <w:lang w:val="en-GB"/>
        </w:rPr>
        <w:t>is</w:t>
      </w:r>
      <w:r w:rsidR="001F6147" w:rsidRPr="00533E9F">
        <w:rPr>
          <w:lang w:val="en-GB"/>
        </w:rPr>
        <w:t xml:space="preserve"> context.</w:t>
      </w:r>
    </w:p>
    <w:p w14:paraId="5AC4616C" w14:textId="70D6EAEF" w:rsidR="001465C1" w:rsidRPr="008A1D6D" w:rsidRDefault="007629F1" w:rsidP="008A1D6D">
      <w:pPr>
        <w:jc w:val="both"/>
        <w:rPr>
          <w:lang w:val="en-GB"/>
        </w:rPr>
      </w:pPr>
      <w:r w:rsidRPr="008A1D6D">
        <w:rPr>
          <w:lang w:val="en-GB"/>
        </w:rPr>
        <w:t>To promote the use of biocontrol even more the</w:t>
      </w:r>
      <w:r w:rsidR="001465C1" w:rsidRPr="008A1D6D">
        <w:rPr>
          <w:lang w:val="en-GB"/>
        </w:rPr>
        <w:t xml:space="preserve"> </w:t>
      </w:r>
      <w:r w:rsidRPr="008A1D6D">
        <w:rPr>
          <w:b/>
          <w:lang w:val="en-GB"/>
        </w:rPr>
        <w:t>definition of ‘non-chemical methods’</w:t>
      </w:r>
      <w:r w:rsidRPr="008A1D6D">
        <w:rPr>
          <w:lang w:val="en-GB"/>
        </w:rPr>
        <w:t xml:space="preserve"> (meaning alternatives to chemical plant protection products</w:t>
      </w:r>
      <w:r w:rsidR="00271929">
        <w:rPr>
          <w:lang w:val="en-GB"/>
        </w:rPr>
        <w:t>, Article 3(22)</w:t>
      </w:r>
      <w:r w:rsidRPr="008A1D6D">
        <w:rPr>
          <w:lang w:val="en-GB"/>
        </w:rPr>
        <w:t xml:space="preserve">) </w:t>
      </w:r>
      <w:r w:rsidR="001465C1" w:rsidRPr="008A1D6D">
        <w:rPr>
          <w:lang w:val="en-GB"/>
        </w:rPr>
        <w:t xml:space="preserve">can be expanded </w:t>
      </w:r>
      <w:r w:rsidR="001F6147" w:rsidRPr="008A1D6D">
        <w:rPr>
          <w:lang w:val="en-GB"/>
        </w:rPr>
        <w:t>by</w:t>
      </w:r>
      <w:r w:rsidR="001465C1" w:rsidRPr="008A1D6D">
        <w:rPr>
          <w:lang w:val="en-GB"/>
        </w:rPr>
        <w:t xml:space="preserve"> explicitly </w:t>
      </w:r>
      <w:r w:rsidR="001F6147" w:rsidRPr="008A1D6D">
        <w:rPr>
          <w:lang w:val="en-GB"/>
        </w:rPr>
        <w:t>mentioning biocontrol</w:t>
      </w:r>
      <w:r w:rsidR="001465C1" w:rsidRPr="008A1D6D">
        <w:rPr>
          <w:lang w:val="en-GB"/>
        </w:rPr>
        <w:t xml:space="preserve">, e.g. ‘non-chemical methods’ means alternatives to chemical plant protection products </w:t>
      </w:r>
      <w:r w:rsidR="001465C1" w:rsidRPr="008A1D6D">
        <w:rPr>
          <w:i/>
          <w:lang w:val="en-GB"/>
        </w:rPr>
        <w:t>like biological controls, physical and other non-chemical methods</w:t>
      </w:r>
      <w:r w:rsidR="001465C1" w:rsidRPr="008A1D6D">
        <w:rPr>
          <w:lang w:val="en-GB"/>
        </w:rPr>
        <w:t>.</w:t>
      </w:r>
    </w:p>
    <w:p w14:paraId="55726583" w14:textId="68DFF23F" w:rsidR="00110D88" w:rsidRDefault="00D40085" w:rsidP="0070406A">
      <w:pPr>
        <w:shd w:val="clear" w:color="auto" w:fill="FFFFFF"/>
        <w:spacing w:after="0" w:line="240" w:lineRule="auto"/>
        <w:jc w:val="both"/>
        <w:outlineLvl w:val="1"/>
      </w:pPr>
      <w:r w:rsidRPr="0070406A">
        <w:rPr>
          <w:lang w:val="en-GB"/>
        </w:rPr>
        <w:t xml:space="preserve">IBMA welcomes the establishment of </w:t>
      </w:r>
      <w:r w:rsidRPr="0070406A">
        <w:rPr>
          <w:b/>
        </w:rPr>
        <w:t>crop-specific rules</w:t>
      </w:r>
      <w:r w:rsidRPr="00C005CB">
        <w:t xml:space="preserve"> that a professional user should follow in relation to the specific crop and region in which the professional user operates</w:t>
      </w:r>
      <w:r w:rsidR="00822C61">
        <w:t xml:space="preserve"> (Article 15(1))</w:t>
      </w:r>
      <w:r w:rsidRPr="00C005CB">
        <w:t xml:space="preserve">. Such rules should convert the requirements of integrated pest management into verifiable criteria that apply to the specific crop. </w:t>
      </w:r>
      <w:r w:rsidR="00F27E26">
        <w:t>In the Regulation it is specified that t</w:t>
      </w:r>
      <w:r w:rsidR="00E101DC" w:rsidRPr="00C005CB">
        <w:t xml:space="preserve">o ensure that the </w:t>
      </w:r>
      <w:r w:rsidR="00E101DC" w:rsidRPr="0070406A">
        <w:rPr>
          <w:b/>
        </w:rPr>
        <w:t>crop-specific rules</w:t>
      </w:r>
      <w:r w:rsidR="00E101DC" w:rsidRPr="00C005CB">
        <w:t xml:space="preserve"> are in accordance with the requirements of integrated pest management, “</w:t>
      </w:r>
      <w:r w:rsidR="00E101DC" w:rsidRPr="0070406A">
        <w:rPr>
          <w:i/>
        </w:rPr>
        <w:t>detailed rules should be laid down as to what they should contain and the Commission should verify their development, implementation and enforcement on the ground</w:t>
      </w:r>
      <w:r w:rsidR="00E101DC" w:rsidRPr="00C005CB">
        <w:t>”</w:t>
      </w:r>
      <w:r w:rsidR="00822C61">
        <w:t xml:space="preserve"> (Recital 20)</w:t>
      </w:r>
      <w:r w:rsidR="00E101DC" w:rsidRPr="00C005CB">
        <w:t xml:space="preserve">. It is </w:t>
      </w:r>
      <w:r w:rsidR="003E1A1A">
        <w:t xml:space="preserve">considered </w:t>
      </w:r>
      <w:r w:rsidR="00E101DC" w:rsidRPr="00C005CB">
        <w:t xml:space="preserve">essential to prepare and implement these rules as much as possible in a </w:t>
      </w:r>
      <w:r w:rsidR="003E1A1A" w:rsidRPr="00C005CB">
        <w:t>harmonized</w:t>
      </w:r>
      <w:r w:rsidR="00E101DC" w:rsidRPr="00C005CB">
        <w:t xml:space="preserve"> way between MS (e.g. harmonized templat</w:t>
      </w:r>
      <w:r w:rsidR="003E1A1A">
        <w:t xml:space="preserve">e, crop-profiles </w:t>
      </w:r>
      <w:r w:rsidR="00F27E26">
        <w:t xml:space="preserve">or IPM-profiles </w:t>
      </w:r>
      <w:r w:rsidR="003E1A1A" w:rsidRPr="00C005CB">
        <w:t>and work</w:t>
      </w:r>
      <w:r w:rsidR="00E101DC" w:rsidRPr="00C005CB">
        <w:t xml:space="preserve"> plan). This </w:t>
      </w:r>
      <w:r w:rsidR="003E1A1A">
        <w:t>should</w:t>
      </w:r>
      <w:r w:rsidR="00E101DC" w:rsidRPr="00C005CB">
        <w:t xml:space="preserve"> avoid differences between MS in the implementation of IPM and support a harmonized use of biological control. However, it should be acknowledged that IPM strategies </w:t>
      </w:r>
      <w:r w:rsidR="003E1A1A">
        <w:t>may differ from region to region</w:t>
      </w:r>
      <w:r w:rsidR="00E101DC" w:rsidRPr="00C005CB">
        <w:t xml:space="preserve">. </w:t>
      </w:r>
      <w:r w:rsidR="00110D88" w:rsidRPr="0070406A">
        <w:rPr>
          <w:lang w:val="en-GB"/>
        </w:rPr>
        <w:t xml:space="preserve">The </w:t>
      </w:r>
      <w:r w:rsidR="00110D88" w:rsidRPr="00730368">
        <w:rPr>
          <w:lang w:val="en-GB"/>
        </w:rPr>
        <w:t>establishment of mandatory IPM advice records through an electronic IPM register to justify the treatment programmes used, is considered essential to compare IPM practices</w:t>
      </w:r>
      <w:r w:rsidR="00110D88" w:rsidRPr="0070406A">
        <w:rPr>
          <w:lang w:val="en-GB"/>
        </w:rPr>
        <w:t>.</w:t>
      </w:r>
    </w:p>
    <w:p w14:paraId="571515E7" w14:textId="77777777" w:rsidR="00F27E26" w:rsidRDefault="00F27E26" w:rsidP="0070406A">
      <w:pPr>
        <w:shd w:val="clear" w:color="auto" w:fill="FFFFFF"/>
        <w:spacing w:after="0" w:line="240" w:lineRule="auto"/>
        <w:jc w:val="both"/>
        <w:outlineLvl w:val="1"/>
      </w:pPr>
    </w:p>
    <w:p w14:paraId="48545D28" w14:textId="7F5DA02D" w:rsidR="002C4D58" w:rsidRPr="00426917" w:rsidRDefault="002C4D58" w:rsidP="0070406A">
      <w:pPr>
        <w:shd w:val="clear" w:color="auto" w:fill="FFFFFF"/>
        <w:spacing w:after="0" w:line="240" w:lineRule="auto"/>
        <w:jc w:val="both"/>
        <w:outlineLvl w:val="1"/>
      </w:pPr>
      <w:r w:rsidRPr="00574998">
        <w:t xml:space="preserve">The knowledge and experience that growers have gained on IPM methods need to be communicated more widely. To achieve this appropriate training and communication tools need to be used (e.g. forecasting advice, warning systems). Advisors are the link between growers and research and play a key role in communication and the dissemination of information. </w:t>
      </w:r>
      <w:r w:rsidR="006474D5" w:rsidRPr="00110D88">
        <w:rPr>
          <w:b/>
        </w:rPr>
        <w:t xml:space="preserve">‘Crop-profiles’ or </w:t>
      </w:r>
      <w:r w:rsidRPr="00110D88">
        <w:rPr>
          <w:b/>
        </w:rPr>
        <w:t xml:space="preserve">‘IPM Profiles’ </w:t>
      </w:r>
      <w:r w:rsidRPr="00574998">
        <w:t xml:space="preserve">can become important tools to achieve these goals. </w:t>
      </w:r>
      <w:r w:rsidR="00754F2B" w:rsidRPr="003E1A1A">
        <w:t>‘Crop-profiles’ or ‘IPM-profiles</w:t>
      </w:r>
      <w:r w:rsidR="00754F2B">
        <w:t xml:space="preserve"> </w:t>
      </w:r>
      <w:r w:rsidR="00F27E26">
        <w:t xml:space="preserve">need to </w:t>
      </w:r>
      <w:r w:rsidR="00754F2B" w:rsidRPr="00574998">
        <w:t xml:space="preserve">provide an overview of production and pest management practices for a specific crop: (i) information on abiotic factors affecting its growth; (ii) the biology of key disease, insect and mite and weed problems as well as cultural and chemical methods of control; (ii) detailed information on pest occurrence, integrated pest management options, as well as registered pesticides available to growers. </w:t>
      </w:r>
      <w:r w:rsidR="00754F2B">
        <w:t>These profiles</w:t>
      </w:r>
      <w:r w:rsidR="006474D5" w:rsidRPr="00574998">
        <w:t xml:space="preserve"> </w:t>
      </w:r>
      <w:r w:rsidRPr="00574998">
        <w:t xml:space="preserve">should </w:t>
      </w:r>
      <w:r w:rsidR="003E1A1A">
        <w:t xml:space="preserve">also </w:t>
      </w:r>
      <w:r w:rsidRPr="00574998">
        <w:t>provide baseline information at different level</w:t>
      </w:r>
      <w:r w:rsidR="003E1A1A">
        <w:t>s</w:t>
      </w:r>
      <w:r w:rsidRPr="00574998">
        <w:t xml:space="preserve"> (e.g. EU, zonal, national, regional) on crop production and IPM practices and the issues faced by growers. These </w:t>
      </w:r>
      <w:r w:rsidR="006474D5">
        <w:t xml:space="preserve">‘crop-profiles’ or </w:t>
      </w:r>
      <w:r w:rsidR="006474D5" w:rsidRPr="00574998">
        <w:t xml:space="preserve">‘IPM Profiles’ </w:t>
      </w:r>
      <w:r w:rsidRPr="00574998">
        <w:t xml:space="preserve">can </w:t>
      </w:r>
      <w:r w:rsidR="003E1A1A">
        <w:t xml:space="preserve">also </w:t>
      </w:r>
      <w:r w:rsidRPr="00574998">
        <w:t>be used to train advisors</w:t>
      </w:r>
      <w:r w:rsidR="006474D5">
        <w:t xml:space="preserve">. This </w:t>
      </w:r>
      <w:r w:rsidRPr="00110D88">
        <w:rPr>
          <w:lang w:val="en-GB"/>
        </w:rPr>
        <w:t xml:space="preserve">would increase transparency and could partly overcome this problem of </w:t>
      </w:r>
      <w:r w:rsidRPr="00110D88">
        <w:rPr>
          <w:b/>
          <w:lang w:val="en-GB"/>
        </w:rPr>
        <w:t>‘independency’</w:t>
      </w:r>
      <w:r w:rsidR="00431614" w:rsidRPr="00110D88">
        <w:rPr>
          <w:lang w:val="en-GB"/>
        </w:rPr>
        <w:t xml:space="preserve"> as advisors most likely will not be governmental/publicly funded, but they </w:t>
      </w:r>
      <w:r w:rsidR="00F27E26">
        <w:rPr>
          <w:lang w:val="en-GB"/>
        </w:rPr>
        <w:t>may</w:t>
      </w:r>
      <w:r w:rsidR="00431614" w:rsidRPr="00110D88">
        <w:rPr>
          <w:lang w:val="en-GB"/>
        </w:rPr>
        <w:t xml:space="preserve"> be trained and paid by private companies</w:t>
      </w:r>
      <w:r w:rsidRPr="00110D88">
        <w:rPr>
          <w:lang w:val="en-GB"/>
        </w:rPr>
        <w:t>.</w:t>
      </w:r>
      <w:r w:rsidR="00D40085" w:rsidRPr="00110D88">
        <w:rPr>
          <w:lang w:val="en-GB"/>
        </w:rPr>
        <w:t xml:space="preserve"> </w:t>
      </w:r>
      <w:r w:rsidR="00426917" w:rsidRPr="00110D88">
        <w:rPr>
          <w:lang w:val="en-GB"/>
        </w:rPr>
        <w:t xml:space="preserve">IBMA welcomes </w:t>
      </w:r>
      <w:r w:rsidR="00D40085" w:rsidRPr="00110D88">
        <w:rPr>
          <w:lang w:val="en-GB"/>
        </w:rPr>
        <w:t xml:space="preserve">the designation of a competent authority </w:t>
      </w:r>
      <w:r w:rsidR="00F27E26" w:rsidRPr="00C519ED">
        <w:rPr>
          <w:lang w:val="en-GB"/>
        </w:rPr>
        <w:t>at MS level</w:t>
      </w:r>
      <w:r w:rsidR="00F27E26">
        <w:rPr>
          <w:lang w:val="en-GB"/>
        </w:rPr>
        <w:t xml:space="preserve"> </w:t>
      </w:r>
      <w:r w:rsidR="00D40085" w:rsidRPr="00110D88">
        <w:rPr>
          <w:lang w:val="en-GB"/>
        </w:rPr>
        <w:t xml:space="preserve">to establish, oversee and monitor the operation of a system of </w:t>
      </w:r>
      <w:r w:rsidR="00D40085" w:rsidRPr="00110D88">
        <w:rPr>
          <w:b/>
          <w:lang w:val="en-GB"/>
        </w:rPr>
        <w:t>independent advisors</w:t>
      </w:r>
      <w:r w:rsidR="00D40085" w:rsidRPr="00110D88">
        <w:rPr>
          <w:lang w:val="en-GB"/>
        </w:rPr>
        <w:t xml:space="preserve"> for professional users</w:t>
      </w:r>
      <w:r w:rsidR="00730368">
        <w:rPr>
          <w:lang w:val="en-GB"/>
        </w:rPr>
        <w:t xml:space="preserve"> (Article 26(1))</w:t>
      </w:r>
      <w:r w:rsidR="00426917" w:rsidRPr="00110D88">
        <w:rPr>
          <w:lang w:val="en-GB"/>
        </w:rPr>
        <w:t>.</w:t>
      </w:r>
    </w:p>
    <w:p w14:paraId="67869707" w14:textId="374A56A3" w:rsidR="002C4D58" w:rsidRDefault="002C4D58" w:rsidP="0070406A">
      <w:pPr>
        <w:jc w:val="both"/>
      </w:pPr>
      <w:r w:rsidRPr="00574998">
        <w:t>Examples are the Canadian Crop Profiles</w:t>
      </w:r>
      <w:r w:rsidRPr="00574998">
        <w:rPr>
          <w:b/>
        </w:rPr>
        <w:t xml:space="preserve"> </w:t>
      </w:r>
      <w:r w:rsidRPr="00574998">
        <w:rPr>
          <w:color w:val="1F497D"/>
        </w:rPr>
        <w:t>(</w:t>
      </w:r>
      <w:hyperlink r:id="rId11" w:history="1">
        <w:r w:rsidRPr="00574998">
          <w:rPr>
            <w:rStyle w:val="Hyperlink"/>
          </w:rPr>
          <w:t>Crop profiles - Agriculture and Agri-Food Canada (AAFC)</w:t>
        </w:r>
      </w:hyperlink>
      <w:r w:rsidRPr="00574998">
        <w:rPr>
          <w:color w:val="1F497D"/>
        </w:rPr>
        <w:t xml:space="preserve">) </w:t>
      </w:r>
      <w:r w:rsidRPr="00574998">
        <w:t>or the IOBC Crop Specific Technical Guidelines for Integrated Production</w:t>
      </w:r>
      <w:r w:rsidRPr="00574998">
        <w:rPr>
          <w:color w:val="1F497D"/>
        </w:rPr>
        <w:t xml:space="preserve"> (</w:t>
      </w:r>
      <w:hyperlink r:id="rId12" w:history="1">
        <w:r w:rsidRPr="00574998">
          <w:rPr>
            <w:rStyle w:val="Hyperlink"/>
          </w:rPr>
          <w:t>https://www.iobc-wprs.org/ip_practical_guidelines/index.html</w:t>
        </w:r>
      </w:hyperlink>
      <w:r w:rsidRPr="00574998">
        <w:rPr>
          <w:rStyle w:val="Hyperlink"/>
        </w:rPr>
        <w:t>)</w:t>
      </w:r>
    </w:p>
    <w:p w14:paraId="6BF0E0DE" w14:textId="0A51C127" w:rsidR="00BB010E" w:rsidRPr="002C4D58" w:rsidRDefault="00F27E26" w:rsidP="002C4D58">
      <w:pPr>
        <w:jc w:val="both"/>
      </w:pPr>
      <w:r w:rsidRPr="00F27E26">
        <w:rPr>
          <w:lang w:val="en-GB"/>
        </w:rPr>
        <w:t xml:space="preserve">IBMA </w:t>
      </w:r>
      <w:r>
        <w:rPr>
          <w:lang w:val="en-GB"/>
        </w:rPr>
        <w:t>wants to stress</w:t>
      </w:r>
      <w:r w:rsidRPr="00F27E26">
        <w:rPr>
          <w:lang w:val="en-GB"/>
        </w:rPr>
        <w:t xml:space="preserve"> that all parties involved</w:t>
      </w:r>
      <w:r w:rsidRPr="008B1716">
        <w:rPr>
          <w:lang w:val="en-GB"/>
        </w:rPr>
        <w:t xml:space="preserve"> in the regulatory process (applicants/biocontrol industry, national regulatory authorities, and Commission representatives) have to play their </w:t>
      </w:r>
      <w:r w:rsidRPr="008B1716">
        <w:rPr>
          <w:b/>
          <w:lang w:val="en-GB"/>
        </w:rPr>
        <w:t>role in the communication</w:t>
      </w:r>
      <w:r w:rsidRPr="008B1716">
        <w:rPr>
          <w:lang w:val="en-GB"/>
        </w:rPr>
        <w:t xml:space="preserve"> of the environmental benefits of biocontrol, IPM and other non-chemical alternatives.</w:t>
      </w:r>
    </w:p>
    <w:p w14:paraId="11BC8017" w14:textId="77777777" w:rsidR="00F27E26" w:rsidRDefault="00F27E26" w:rsidP="00BB010E">
      <w:pPr>
        <w:jc w:val="both"/>
        <w:rPr>
          <w:b/>
          <w:lang w:val="en-GB"/>
        </w:rPr>
      </w:pPr>
    </w:p>
    <w:p w14:paraId="7473E4D8" w14:textId="590AE33D" w:rsidR="00BB010E" w:rsidRPr="00574998" w:rsidRDefault="00BB010E" w:rsidP="00BB010E">
      <w:pPr>
        <w:jc w:val="both"/>
      </w:pPr>
      <w:r>
        <w:rPr>
          <w:b/>
          <w:lang w:val="en-GB"/>
        </w:rPr>
        <w:t>Non-professional users</w:t>
      </w:r>
    </w:p>
    <w:p w14:paraId="21E873CB" w14:textId="383ACB1D" w:rsidR="00BB010E" w:rsidRPr="00417605" w:rsidRDefault="00E713C9" w:rsidP="00E713C9">
      <w:pPr>
        <w:spacing w:after="0" w:line="240" w:lineRule="auto"/>
        <w:jc w:val="both"/>
      </w:pPr>
      <w:r>
        <w:t xml:space="preserve">It is recommended to include </w:t>
      </w:r>
      <w:r w:rsidR="00BB010E" w:rsidRPr="00E713C9">
        <w:rPr>
          <w:lang w:val="en-GB"/>
        </w:rPr>
        <w:t xml:space="preserve">a specific article </w:t>
      </w:r>
      <w:r>
        <w:rPr>
          <w:lang w:val="en-GB"/>
        </w:rPr>
        <w:t xml:space="preserve">in the Regulation </w:t>
      </w:r>
      <w:r w:rsidR="00BB010E" w:rsidRPr="00E713C9">
        <w:rPr>
          <w:lang w:val="en-GB"/>
        </w:rPr>
        <w:t xml:space="preserve">for </w:t>
      </w:r>
      <w:r w:rsidR="00BB010E" w:rsidRPr="00E713C9">
        <w:rPr>
          <w:b/>
          <w:lang w:val="en-GB"/>
        </w:rPr>
        <w:t>non-professional use</w:t>
      </w:r>
      <w:r w:rsidR="00BB010E" w:rsidRPr="00E713C9">
        <w:rPr>
          <w:lang w:val="en-GB"/>
        </w:rPr>
        <w:t xml:space="preserve"> as it appears </w:t>
      </w:r>
      <w:r>
        <w:rPr>
          <w:lang w:val="en-GB"/>
        </w:rPr>
        <w:t xml:space="preserve">now </w:t>
      </w:r>
      <w:r w:rsidR="00BB010E" w:rsidRPr="00E713C9">
        <w:rPr>
          <w:lang w:val="en-GB"/>
        </w:rPr>
        <w:t>only in Article 22(3) where it is indicated that ‘</w:t>
      </w:r>
      <w:r w:rsidR="00BB010E" w:rsidRPr="00E713C9">
        <w:rPr>
          <w:i/>
          <w:lang w:val="en-GB"/>
        </w:rPr>
        <w:t>non-professional users may only use low-risk plant protection products</w:t>
      </w:r>
      <w:r w:rsidR="00BB010E" w:rsidRPr="00E713C9">
        <w:rPr>
          <w:lang w:val="en-GB"/>
        </w:rPr>
        <w:t>’ and Article 24(4) where it is stated that a ‘</w:t>
      </w:r>
      <w:r w:rsidR="00BB010E" w:rsidRPr="00E713C9">
        <w:rPr>
          <w:i/>
          <w:lang w:val="en-GB"/>
        </w:rPr>
        <w:t>distributor shall provide general information to non-professional users on the risks</w:t>
      </w:r>
      <w:r w:rsidR="00BB010E" w:rsidRPr="00E713C9">
        <w:rPr>
          <w:lang w:val="en-GB"/>
        </w:rPr>
        <w:t xml:space="preserve">’. </w:t>
      </w:r>
    </w:p>
    <w:p w14:paraId="3E2F6057" w14:textId="77777777" w:rsidR="00417605" w:rsidRPr="00C005CB" w:rsidRDefault="00417605" w:rsidP="00417605">
      <w:pPr>
        <w:pStyle w:val="ListParagraph"/>
        <w:spacing w:after="0" w:line="240" w:lineRule="auto"/>
        <w:jc w:val="both"/>
      </w:pPr>
    </w:p>
    <w:p w14:paraId="15D3821E" w14:textId="57AB5151" w:rsidR="00BB010E" w:rsidRPr="00E713C9" w:rsidRDefault="00CA6089" w:rsidP="00E713C9">
      <w:pPr>
        <w:spacing w:after="0" w:line="240" w:lineRule="auto"/>
        <w:jc w:val="both"/>
        <w:rPr>
          <w:b/>
        </w:rPr>
      </w:pPr>
      <w:r w:rsidRPr="00E713C9">
        <w:rPr>
          <w:lang w:val="en-GB"/>
        </w:rPr>
        <w:t xml:space="preserve">Although it is recognized that not all </w:t>
      </w:r>
      <w:r w:rsidR="0040231D">
        <w:rPr>
          <w:lang w:val="en-GB"/>
        </w:rPr>
        <w:t>biocontrol products</w:t>
      </w:r>
      <w:r w:rsidRPr="00E713C9">
        <w:rPr>
          <w:lang w:val="en-GB"/>
        </w:rPr>
        <w:t xml:space="preserve"> have the ‘low-risk’ status all products that are currently </w:t>
      </w:r>
      <w:r w:rsidRPr="0040231D">
        <w:rPr>
          <w:b/>
          <w:lang w:val="en-GB"/>
        </w:rPr>
        <w:t>authorised for non-professional use</w:t>
      </w:r>
      <w:r w:rsidRPr="00E713C9">
        <w:rPr>
          <w:lang w:val="en-GB"/>
        </w:rPr>
        <w:t xml:space="preserve"> should remain available for ‘non-professional users’</w:t>
      </w:r>
      <w:r w:rsidR="00BB010E" w:rsidRPr="00E713C9">
        <w:rPr>
          <w:lang w:val="en-GB"/>
        </w:rPr>
        <w:t>.</w:t>
      </w:r>
      <w:r w:rsidR="00BB010E" w:rsidRPr="00C005CB">
        <w:t xml:space="preserve"> </w:t>
      </w:r>
      <w:r w:rsidR="00BB010E" w:rsidRPr="00E713C9">
        <w:rPr>
          <w:lang w:val="en-GB"/>
        </w:rPr>
        <w:t xml:space="preserve">It should be </w:t>
      </w:r>
      <w:r w:rsidR="008873EF">
        <w:rPr>
          <w:lang w:val="en-GB"/>
        </w:rPr>
        <w:t>mentioned</w:t>
      </w:r>
      <w:r w:rsidR="008873EF" w:rsidRPr="00E713C9">
        <w:rPr>
          <w:lang w:val="en-GB"/>
        </w:rPr>
        <w:t xml:space="preserve"> </w:t>
      </w:r>
      <w:r w:rsidR="00BB010E" w:rsidRPr="00E713C9">
        <w:rPr>
          <w:lang w:val="en-GB"/>
        </w:rPr>
        <w:t>that invertebrate macro-organisms (which are not PPPs</w:t>
      </w:r>
      <w:r w:rsidR="0040231D">
        <w:rPr>
          <w:lang w:val="en-GB"/>
        </w:rPr>
        <w:t xml:space="preserve"> according to Regulation (EC) No 1107/2009</w:t>
      </w:r>
      <w:r w:rsidR="00BB010E" w:rsidRPr="00E713C9">
        <w:rPr>
          <w:lang w:val="en-GB"/>
        </w:rPr>
        <w:t xml:space="preserve">), can </w:t>
      </w:r>
      <w:r w:rsidRPr="00E713C9">
        <w:rPr>
          <w:lang w:val="en-GB"/>
        </w:rPr>
        <w:t xml:space="preserve">also </w:t>
      </w:r>
      <w:r w:rsidR="00BB010E" w:rsidRPr="00E713C9">
        <w:rPr>
          <w:lang w:val="en-GB"/>
        </w:rPr>
        <w:t xml:space="preserve">be used </w:t>
      </w:r>
      <w:r w:rsidRPr="00E713C9">
        <w:rPr>
          <w:lang w:val="en-GB"/>
        </w:rPr>
        <w:t>by</w:t>
      </w:r>
      <w:r w:rsidR="00BB010E" w:rsidRPr="00E713C9">
        <w:rPr>
          <w:lang w:val="en-GB"/>
        </w:rPr>
        <w:t xml:space="preserve"> non-professional use</w:t>
      </w:r>
      <w:r w:rsidRPr="00E713C9">
        <w:rPr>
          <w:lang w:val="en-GB"/>
        </w:rPr>
        <w:t>rs</w:t>
      </w:r>
      <w:r w:rsidR="00BB010E" w:rsidRPr="00E713C9">
        <w:rPr>
          <w:lang w:val="en-GB"/>
        </w:rPr>
        <w:t xml:space="preserve">. </w:t>
      </w:r>
    </w:p>
    <w:p w14:paraId="1A54A276" w14:textId="77777777" w:rsidR="00BB010E" w:rsidRDefault="00BB010E" w:rsidP="00BB010E">
      <w:pPr>
        <w:jc w:val="both"/>
        <w:rPr>
          <w:b/>
          <w:lang w:val="en-GB"/>
        </w:rPr>
      </w:pPr>
    </w:p>
    <w:p w14:paraId="44AC3FC7" w14:textId="48EA1F81" w:rsidR="00BB010E" w:rsidRPr="00574998" w:rsidRDefault="00BB010E" w:rsidP="00BB010E">
      <w:pPr>
        <w:jc w:val="both"/>
      </w:pPr>
      <w:r>
        <w:rPr>
          <w:b/>
          <w:lang w:val="en-GB"/>
        </w:rPr>
        <w:t>Training</w:t>
      </w:r>
    </w:p>
    <w:p w14:paraId="7DF4B809" w14:textId="78A18846" w:rsidR="00BB010E" w:rsidRPr="00315EC4" w:rsidRDefault="00D40085" w:rsidP="00315EC4">
      <w:pPr>
        <w:jc w:val="both"/>
        <w:rPr>
          <w:lang w:val="en-GB"/>
        </w:rPr>
      </w:pPr>
      <w:r w:rsidRPr="00AF565C">
        <w:t xml:space="preserve">IBMA welcomes </w:t>
      </w:r>
      <w:r w:rsidRPr="00315EC4">
        <w:rPr>
          <w:lang w:val="en-GB"/>
        </w:rPr>
        <w:t xml:space="preserve">the </w:t>
      </w:r>
      <w:r w:rsidRPr="00315EC4">
        <w:rPr>
          <w:b/>
          <w:lang w:val="en-GB"/>
        </w:rPr>
        <w:t>mandatory training</w:t>
      </w:r>
      <w:r w:rsidRPr="00315EC4">
        <w:rPr>
          <w:lang w:val="en-GB"/>
        </w:rPr>
        <w:t xml:space="preserve"> for professional users and advisors on IPM and biocontrol, as well as the incentive for advisors to attend such training through conditional renewal of professional advisory qualification</w:t>
      </w:r>
      <w:r w:rsidR="00730368">
        <w:rPr>
          <w:lang w:val="en-GB"/>
        </w:rPr>
        <w:t xml:space="preserve"> (Article 25(2))</w:t>
      </w:r>
      <w:r w:rsidRPr="00315EC4">
        <w:rPr>
          <w:lang w:val="en-GB"/>
        </w:rPr>
        <w:t xml:space="preserve">. </w:t>
      </w:r>
      <w:r w:rsidRPr="00C005CB">
        <w:t xml:space="preserve">Annex III TRAININGS SUBJECTS refers explicitly to the relevant legislation regarding plant protection products and their use and risk. Also the topic of IPM is </w:t>
      </w:r>
      <w:r w:rsidR="003447C2">
        <w:t>well</w:t>
      </w:r>
      <w:r w:rsidRPr="00C005CB">
        <w:t xml:space="preserve"> elaborated: “</w:t>
      </w:r>
      <w:r w:rsidRPr="00315EC4">
        <w:rPr>
          <w:rFonts w:eastAsia="Times New Roman"/>
          <w:i/>
          <w:szCs w:val="24"/>
          <w:lang w:val="en-IE" w:eastAsia="en-IE"/>
        </w:rPr>
        <w:t xml:space="preserve">Integrated pest management strategies and techniques, integrated crop management strategies and techniques, organic farming principles, </w:t>
      </w:r>
      <w:r w:rsidRPr="00315EC4">
        <w:rPr>
          <w:rFonts w:eastAsia="Times New Roman"/>
          <w:b/>
          <w:i/>
          <w:szCs w:val="24"/>
          <w:lang w:val="en-IE" w:eastAsia="en-IE"/>
        </w:rPr>
        <w:t>biological pest control methods</w:t>
      </w:r>
      <w:r w:rsidRPr="00315EC4">
        <w:rPr>
          <w:rFonts w:eastAsia="Times New Roman"/>
          <w:i/>
          <w:szCs w:val="24"/>
          <w:lang w:val="en-IE" w:eastAsia="en-IE"/>
        </w:rPr>
        <w:t xml:space="preserve">, </w:t>
      </w:r>
      <w:r w:rsidRPr="00315EC4">
        <w:rPr>
          <w:i/>
          <w:szCs w:val="24"/>
          <w:lang w:val="en-IE"/>
        </w:rPr>
        <w:t>harmful organism</w:t>
      </w:r>
      <w:r w:rsidRPr="00315EC4" w:rsidDel="00A3434E">
        <w:rPr>
          <w:rFonts w:eastAsia="Times New Roman"/>
          <w:i/>
          <w:szCs w:val="24"/>
          <w:lang w:val="en-IE" w:eastAsia="en-IE"/>
        </w:rPr>
        <w:t xml:space="preserve"> </w:t>
      </w:r>
      <w:r w:rsidRPr="00315EC4">
        <w:rPr>
          <w:rFonts w:eastAsia="Times New Roman"/>
          <w:i/>
          <w:szCs w:val="24"/>
          <w:lang w:val="en-IE" w:eastAsia="en-IE"/>
        </w:rPr>
        <w:t xml:space="preserve">control methods, </w:t>
      </w:r>
      <w:r w:rsidRPr="00315EC4">
        <w:rPr>
          <w:rFonts w:eastAsia="Times New Roman"/>
          <w:i/>
          <w:szCs w:val="24"/>
          <w:lang w:val="en-IE"/>
        </w:rPr>
        <w:t xml:space="preserve">the obligation to apply integrated pest management as set out in Articles 12 and 13 of this Regulation, and the obligation to enter records </w:t>
      </w:r>
      <w:r w:rsidRPr="00315EC4">
        <w:rPr>
          <w:rFonts w:eastAsia="Times New Roman"/>
          <w:i/>
          <w:szCs w:val="24"/>
        </w:rPr>
        <w:t>in the electronic integrated pest management and plant protection product use register, as set out in Article 14 of this Regulation</w:t>
      </w:r>
      <w:r w:rsidRPr="00315EC4">
        <w:rPr>
          <w:rFonts w:eastAsia="Times New Roman"/>
          <w:szCs w:val="24"/>
        </w:rPr>
        <w:t>”.</w:t>
      </w:r>
      <w:r w:rsidR="003447C2" w:rsidRPr="00315EC4">
        <w:rPr>
          <w:rFonts w:eastAsia="Times New Roman"/>
          <w:szCs w:val="24"/>
        </w:rPr>
        <w:t xml:space="preserve"> However, t</w:t>
      </w:r>
      <w:r w:rsidRPr="00315EC4">
        <w:rPr>
          <w:lang w:val="en-GB"/>
        </w:rPr>
        <w:t xml:space="preserve">he </w:t>
      </w:r>
      <w:r w:rsidR="00BB010E" w:rsidRPr="00315EC4">
        <w:rPr>
          <w:lang w:val="en-GB"/>
        </w:rPr>
        <w:t xml:space="preserve">use of low-risk products should have a more prominent place in the </w:t>
      </w:r>
      <w:r w:rsidR="00BB010E" w:rsidRPr="00315EC4">
        <w:rPr>
          <w:b/>
          <w:lang w:val="en-GB"/>
        </w:rPr>
        <w:t>training subjects</w:t>
      </w:r>
      <w:r w:rsidR="00BB010E" w:rsidRPr="00315EC4">
        <w:rPr>
          <w:lang w:val="en-GB"/>
        </w:rPr>
        <w:t xml:space="preserve"> for professional users and advisers. </w:t>
      </w:r>
    </w:p>
    <w:p w14:paraId="46B29C55" w14:textId="53C399F5" w:rsidR="00BB010E" w:rsidRPr="00BB010E" w:rsidRDefault="00BB010E" w:rsidP="00315EC4">
      <w:pPr>
        <w:jc w:val="both"/>
      </w:pPr>
      <w:r w:rsidRPr="00BB010E">
        <w:rPr>
          <w:lang w:val="en-GB"/>
        </w:rPr>
        <w:t xml:space="preserve">Distributors should be stimulated to recommend not only low-risk products, but </w:t>
      </w:r>
      <w:r w:rsidRPr="00BB010E">
        <w:rPr>
          <w:b/>
          <w:lang w:val="en-GB"/>
        </w:rPr>
        <w:t>low-risk and/or biocontrol products</w:t>
      </w:r>
      <w:r w:rsidR="00730368">
        <w:rPr>
          <w:lang w:val="en-GB"/>
        </w:rPr>
        <w:t xml:space="preserve"> (Article 24(6))</w:t>
      </w:r>
      <w:r w:rsidRPr="00BB010E">
        <w:rPr>
          <w:lang w:val="en-GB"/>
        </w:rPr>
        <w:t xml:space="preserve">. </w:t>
      </w:r>
    </w:p>
    <w:p w14:paraId="23D86A48" w14:textId="77777777" w:rsidR="00574998" w:rsidRPr="00BB010E" w:rsidRDefault="00574998" w:rsidP="00006123">
      <w:pPr>
        <w:ind w:left="720"/>
        <w:jc w:val="both"/>
      </w:pPr>
    </w:p>
    <w:p w14:paraId="24336DF0" w14:textId="4E2EDA02" w:rsidR="00AF565C" w:rsidRPr="00574998" w:rsidRDefault="00AF565C" w:rsidP="00AF565C">
      <w:pPr>
        <w:jc w:val="both"/>
      </w:pPr>
      <w:r>
        <w:rPr>
          <w:b/>
          <w:lang w:val="en-GB"/>
        </w:rPr>
        <w:t>Aerial spraying</w:t>
      </w:r>
    </w:p>
    <w:p w14:paraId="03DA6C82" w14:textId="16F87BC5" w:rsidR="00AF565C" w:rsidRPr="00AF565C" w:rsidRDefault="00AF565C" w:rsidP="00315EC4">
      <w:pPr>
        <w:spacing w:after="0" w:line="240" w:lineRule="auto"/>
        <w:contextualSpacing/>
        <w:jc w:val="both"/>
      </w:pPr>
      <w:r w:rsidRPr="00AF565C">
        <w:rPr>
          <w:b/>
          <w:lang w:val="en-GB"/>
        </w:rPr>
        <w:t>Drone (UAV) application</w:t>
      </w:r>
      <w:r w:rsidRPr="00AF565C">
        <w:rPr>
          <w:lang w:val="en-GB"/>
        </w:rPr>
        <w:t xml:space="preserve"> should apply both to biocontrol products and to low-risk products. </w:t>
      </w:r>
      <w:r w:rsidRPr="0057577C">
        <w:t xml:space="preserve">IBMA welcomes </w:t>
      </w:r>
      <w:r w:rsidRPr="00AF565C">
        <w:t xml:space="preserve">that a competent authority designated by a Member State may permit </w:t>
      </w:r>
      <w:r w:rsidRPr="00AF565C">
        <w:rPr>
          <w:b/>
        </w:rPr>
        <w:t>aerial application</w:t>
      </w:r>
      <w:r w:rsidRPr="00AF565C">
        <w:t xml:space="preserve"> by a professional user</w:t>
      </w:r>
      <w:r w:rsidR="001F6387">
        <w:t xml:space="preserve"> (Article 20(2))</w:t>
      </w:r>
      <w:r w:rsidRPr="00AF565C">
        <w:t xml:space="preserve">. </w:t>
      </w:r>
      <w:r w:rsidRPr="00AF565C">
        <w:rPr>
          <w:lang w:val="en-GB"/>
        </w:rPr>
        <w:t xml:space="preserve">If </w:t>
      </w:r>
      <w:r w:rsidRPr="00AF565C">
        <w:rPr>
          <w:b/>
          <w:lang w:val="en-GB"/>
        </w:rPr>
        <w:t>permits for aerial application and for the use in sensitive areas</w:t>
      </w:r>
      <w:r w:rsidRPr="00AF565C">
        <w:rPr>
          <w:lang w:val="en-GB"/>
        </w:rPr>
        <w:t xml:space="preserve"> are issued by competent authorities, </w:t>
      </w:r>
      <w:r w:rsidR="0057577C">
        <w:rPr>
          <w:lang w:val="en-GB"/>
        </w:rPr>
        <w:t>IBMA questions ho</w:t>
      </w:r>
      <w:r w:rsidRPr="00AF565C">
        <w:rPr>
          <w:lang w:val="en-GB"/>
        </w:rPr>
        <w:t xml:space="preserve">w harmonization between MSs </w:t>
      </w:r>
      <w:r w:rsidR="0057577C">
        <w:rPr>
          <w:lang w:val="en-GB"/>
        </w:rPr>
        <w:t xml:space="preserve">can </w:t>
      </w:r>
      <w:r w:rsidRPr="00AF565C">
        <w:rPr>
          <w:lang w:val="en-GB"/>
        </w:rPr>
        <w:t>be guaranteed</w:t>
      </w:r>
      <w:r w:rsidR="0057577C">
        <w:rPr>
          <w:lang w:val="en-GB"/>
        </w:rPr>
        <w:t xml:space="preserve"> and how the competent authorities deal with the </w:t>
      </w:r>
      <w:r w:rsidRPr="00AF565C">
        <w:rPr>
          <w:lang w:val="en-GB"/>
        </w:rPr>
        <w:t>difference</w:t>
      </w:r>
      <w:r w:rsidR="0057577C">
        <w:rPr>
          <w:lang w:val="en-GB"/>
        </w:rPr>
        <w:t>s</w:t>
      </w:r>
      <w:r w:rsidRPr="00AF565C">
        <w:rPr>
          <w:lang w:val="en-GB"/>
        </w:rPr>
        <w:t xml:space="preserve"> between a ‘human health sensitive area’ and an ‘ecologically sensitive area’. According to the current text non-professional users are also not allowed to use low-risk PPP in these areas</w:t>
      </w:r>
      <w:r w:rsidR="001F6387">
        <w:rPr>
          <w:lang w:val="en-GB"/>
        </w:rPr>
        <w:t xml:space="preserve"> (Article 18(1))</w:t>
      </w:r>
      <w:r w:rsidRPr="00AF565C">
        <w:rPr>
          <w:lang w:val="en-GB"/>
        </w:rPr>
        <w:t xml:space="preserve">. </w:t>
      </w:r>
    </w:p>
    <w:p w14:paraId="1C8E0F2B" w14:textId="77837B5E" w:rsidR="000626DD" w:rsidRPr="00F82C27" w:rsidRDefault="000626DD" w:rsidP="00AF565C">
      <w:pPr>
        <w:pStyle w:val="ListParagraph"/>
        <w:shd w:val="clear" w:color="auto" w:fill="FFFFFF"/>
        <w:spacing w:after="225" w:line="240" w:lineRule="auto"/>
        <w:jc w:val="both"/>
        <w:outlineLvl w:val="1"/>
      </w:pPr>
    </w:p>
    <w:p w14:paraId="5CF41906" w14:textId="59056046" w:rsidR="00C1097F" w:rsidRPr="0024391B" w:rsidRDefault="00C1097F" w:rsidP="00C1097F">
      <w:pPr>
        <w:jc w:val="both"/>
      </w:pPr>
      <w:r w:rsidRPr="0024391B">
        <w:rPr>
          <w:b/>
        </w:rPr>
        <w:t xml:space="preserve">Harmonised Risk Indicators </w:t>
      </w:r>
      <w:r w:rsidR="004F083B">
        <w:rPr>
          <w:b/>
        </w:rPr>
        <w:t>(HRI)</w:t>
      </w:r>
    </w:p>
    <w:p w14:paraId="4DD308F0" w14:textId="5E09E0EE" w:rsidR="00EE4822" w:rsidRDefault="00EE4822" w:rsidP="00B53AF4">
      <w:pPr>
        <w:spacing w:after="0" w:line="240" w:lineRule="auto"/>
        <w:jc w:val="both"/>
      </w:pPr>
      <w:r>
        <w:t xml:space="preserve">The calculation of HRI will be based on statistics on the </w:t>
      </w:r>
      <w:r w:rsidRPr="00417055">
        <w:rPr>
          <w:b/>
        </w:rPr>
        <w:t>quantities of active substances</w:t>
      </w:r>
      <w:r>
        <w:t xml:space="preserve"> placed on the market in plant protection products under Regulation (EC) No 1107/2009</w:t>
      </w:r>
      <w:r w:rsidR="00417055">
        <w:t xml:space="preserve"> </w:t>
      </w:r>
      <w:r w:rsidR="00F82C27">
        <w:t xml:space="preserve">(Article 4, Annex I), </w:t>
      </w:r>
      <w:r w:rsidR="00417055">
        <w:t>whereas t</w:t>
      </w:r>
      <w:r w:rsidR="00417055" w:rsidRPr="00417055">
        <w:t xml:space="preserve">he methodology </w:t>
      </w:r>
      <w:r w:rsidR="00417055">
        <w:t xml:space="preserve">to calculate reduction targets will </w:t>
      </w:r>
      <w:r w:rsidR="00417055" w:rsidRPr="00417055">
        <w:t xml:space="preserve">be based on statistics on the </w:t>
      </w:r>
      <w:r w:rsidR="00417055" w:rsidRPr="00417055">
        <w:rPr>
          <w:b/>
        </w:rPr>
        <w:t>quantities of chemical active substances</w:t>
      </w:r>
      <w:r w:rsidR="00417055" w:rsidRPr="00417055">
        <w:t xml:space="preserve"> placed on the market in plant protection products under Regulation (EC) No 1107/2009</w:t>
      </w:r>
      <w:r w:rsidR="00F82C27">
        <w:t xml:space="preserve"> (Article 35, Annex VI)</w:t>
      </w:r>
      <w:r w:rsidR="00417055">
        <w:t>. It is questionable</w:t>
      </w:r>
      <w:r w:rsidR="00C519ED">
        <w:t xml:space="preserve"> if different methodologies and weighting should be used to calculate HRI and</w:t>
      </w:r>
      <w:r w:rsidR="00417055" w:rsidRPr="00417055">
        <w:t xml:space="preserve"> </w:t>
      </w:r>
      <w:r w:rsidR="00C519ED">
        <w:t>the</w:t>
      </w:r>
      <w:r w:rsidR="00417055" w:rsidRPr="00417055">
        <w:t xml:space="preserve"> progress towards the 2030 reduction targets.</w:t>
      </w:r>
    </w:p>
    <w:p w14:paraId="4D244EBC" w14:textId="5DE93FC0" w:rsidR="00EE4822" w:rsidRDefault="00EE4822" w:rsidP="00B53AF4">
      <w:pPr>
        <w:spacing w:after="0" w:line="240" w:lineRule="auto"/>
        <w:jc w:val="both"/>
        <w:rPr>
          <w:sz w:val="23"/>
          <w:szCs w:val="23"/>
        </w:rPr>
      </w:pPr>
    </w:p>
    <w:p w14:paraId="583F8B81" w14:textId="63BC52EF" w:rsidR="00FB2F0A" w:rsidRPr="00766604" w:rsidRDefault="00FB2F0A" w:rsidP="00B53AF4">
      <w:pPr>
        <w:spacing w:after="0" w:line="240" w:lineRule="auto"/>
        <w:jc w:val="both"/>
      </w:pPr>
      <w:r w:rsidRPr="00766604">
        <w:t xml:space="preserve">While we recognize that data available to include in HRI will be governed by the Statistics of Agricultural Inputs and Outputs </w:t>
      </w:r>
      <w:r w:rsidR="004F083B" w:rsidRPr="00766604">
        <w:t>(SAIO)</w:t>
      </w:r>
      <w:r w:rsidR="004F083B" w:rsidRPr="00766604">
        <w:rPr>
          <w:rStyle w:val="FootnoteReference"/>
        </w:rPr>
        <w:footnoteReference w:id="1"/>
      </w:r>
      <w:r w:rsidR="004F083B" w:rsidRPr="00766604">
        <w:t xml:space="preserve"> </w:t>
      </w:r>
      <w:r w:rsidRPr="00766604">
        <w:t>which is currently under review, IBMA considers that an HRI based solely on quantity of active substance is limiting visibility of the achievement of the Farm to Fork objectives. It is important that the HRIs provide a measure of progress towards pesticide reduction targets and indicate the growth of alternative methods such as biocontrol. To do this requires:</w:t>
      </w:r>
    </w:p>
    <w:p w14:paraId="090FCAA4" w14:textId="671CA683" w:rsidR="00FB2F0A" w:rsidRPr="00766604" w:rsidRDefault="00FB2F0A" w:rsidP="00FB2F0A">
      <w:pPr>
        <w:pStyle w:val="ListParagraph"/>
        <w:numPr>
          <w:ilvl w:val="0"/>
          <w:numId w:val="9"/>
        </w:numPr>
        <w:spacing w:after="0" w:line="240" w:lineRule="auto"/>
        <w:jc w:val="both"/>
      </w:pPr>
      <w:r w:rsidRPr="00766604">
        <w:t xml:space="preserve">Separation of biological control from chemical PPPs so they can be measured separately </w:t>
      </w:r>
    </w:p>
    <w:p w14:paraId="6D3A1D72" w14:textId="538F25F6" w:rsidR="00FB2F0A" w:rsidRPr="00766604" w:rsidRDefault="00ED6A72" w:rsidP="00FB2F0A">
      <w:pPr>
        <w:pStyle w:val="ListParagraph"/>
        <w:numPr>
          <w:ilvl w:val="0"/>
          <w:numId w:val="9"/>
        </w:numPr>
        <w:spacing w:after="0" w:line="240" w:lineRule="auto"/>
        <w:jc w:val="both"/>
      </w:pPr>
      <w:r w:rsidRPr="00766604">
        <w:t xml:space="preserve">Quantity of active substance can be used but should be noted that modern chemistry has application rates of a few grammes while biocontrol may work at hundreds of grammes or </w:t>
      </w:r>
      <w:r w:rsidR="00CC2ECB" w:rsidRPr="00766604">
        <w:t>being measured in different units such as colony forming units (cfu</w:t>
      </w:r>
      <w:r w:rsidR="006C2C39" w:rsidRPr="00766604">
        <w:t>’s</w:t>
      </w:r>
      <w:r w:rsidR="00CC2ECB" w:rsidRPr="00766604">
        <w:t>)</w:t>
      </w:r>
    </w:p>
    <w:p w14:paraId="03D76EBF" w14:textId="678D7B26" w:rsidR="00ED6A72" w:rsidRPr="00766604" w:rsidRDefault="00ED6A72" w:rsidP="00FB2F0A">
      <w:pPr>
        <w:pStyle w:val="ListParagraph"/>
        <w:numPr>
          <w:ilvl w:val="0"/>
          <w:numId w:val="9"/>
        </w:numPr>
        <w:spacing w:after="0" w:line="240" w:lineRule="auto"/>
        <w:jc w:val="both"/>
      </w:pPr>
      <w:r w:rsidRPr="00766604">
        <w:t>Replacement of uses with biological product alternatives is a measure that can be used and is applied in Article 9 in the preparation of National Action Plans.  It may be necessary to take this into consideration when evaluating any modifications in the HRI</w:t>
      </w:r>
    </w:p>
    <w:p w14:paraId="7CDFC87F" w14:textId="77777777" w:rsidR="00ED6A72" w:rsidRPr="00766604" w:rsidRDefault="00ED6A72" w:rsidP="00766604">
      <w:pPr>
        <w:pStyle w:val="ListParagraph"/>
        <w:spacing w:after="0" w:line="240" w:lineRule="auto"/>
        <w:jc w:val="both"/>
      </w:pPr>
    </w:p>
    <w:p w14:paraId="19B24AB1" w14:textId="3CF200E6" w:rsidR="00B53AF4" w:rsidRPr="00766604" w:rsidRDefault="00C1097F" w:rsidP="00B53AF4">
      <w:pPr>
        <w:spacing w:after="0" w:line="240" w:lineRule="auto"/>
        <w:jc w:val="both"/>
        <w:rPr>
          <w:lang w:val="en-GB"/>
        </w:rPr>
      </w:pPr>
      <w:r w:rsidRPr="00766604">
        <w:t xml:space="preserve">It is recommended that biocontrol and low-risk products should be excluded from the calculation for </w:t>
      </w:r>
      <w:r w:rsidRPr="00766604">
        <w:rPr>
          <w:b/>
        </w:rPr>
        <w:t>Harmonised Risk Indicator 2</w:t>
      </w:r>
      <w:r w:rsidRPr="00766604">
        <w:t xml:space="preserve"> (number of emergency authorisations</w:t>
      </w:r>
      <w:r w:rsidR="00F82C27" w:rsidRPr="00766604">
        <w:t>, Annex VI</w:t>
      </w:r>
      <w:r w:rsidRPr="00766604">
        <w:t>)</w:t>
      </w:r>
      <w:r w:rsidR="00B53AF4" w:rsidRPr="00766604">
        <w:t xml:space="preserve"> as these type of products should preferably be used</w:t>
      </w:r>
      <w:r w:rsidRPr="00766604">
        <w:rPr>
          <w:lang w:val="en-GB"/>
        </w:rPr>
        <w:t xml:space="preserve">. </w:t>
      </w:r>
      <w:r w:rsidR="00B53AF4" w:rsidRPr="00766604">
        <w:rPr>
          <w:lang w:val="en-GB"/>
        </w:rPr>
        <w:t xml:space="preserve">Although a hazard weighting is applicable </w:t>
      </w:r>
      <w:r w:rsidR="00B53AF4" w:rsidRPr="00766604">
        <w:t>for low-risk substances, this is not foreseen for biocontrol products in general.</w:t>
      </w:r>
    </w:p>
    <w:p w14:paraId="68B54935" w14:textId="78F6DA36" w:rsidR="00B53AF4" w:rsidRDefault="00B53AF4" w:rsidP="0091109A">
      <w:pPr>
        <w:spacing w:after="0" w:line="240" w:lineRule="auto"/>
        <w:jc w:val="both"/>
        <w:rPr>
          <w:lang w:val="en-GB"/>
        </w:rPr>
      </w:pPr>
    </w:p>
    <w:p w14:paraId="650DD8BB" w14:textId="12053FCA" w:rsidR="00C1097F" w:rsidRPr="0024391B" w:rsidRDefault="00B53AF4" w:rsidP="0091109A">
      <w:pPr>
        <w:spacing w:after="0" w:line="240" w:lineRule="auto"/>
        <w:jc w:val="both"/>
        <w:rPr>
          <w:lang w:val="en-GB"/>
        </w:rPr>
      </w:pPr>
      <w:r>
        <w:rPr>
          <w:lang w:val="en-GB"/>
        </w:rPr>
        <w:t xml:space="preserve">Remark: </w:t>
      </w:r>
      <w:r w:rsidR="00C1097F" w:rsidRPr="0024391B">
        <w:t>With effect from 1 January 2027, the methodology of harmonised risk indicator 2 (</w:t>
      </w:r>
      <w:r w:rsidR="00C1097F" w:rsidRPr="0024391B">
        <w:rPr>
          <w:b/>
        </w:rPr>
        <w:t xml:space="preserve">based on </w:t>
      </w:r>
      <w:r w:rsidR="00C1097F" w:rsidRPr="0024391B">
        <w:rPr>
          <w:b/>
          <w:bCs/>
          <w:lang w:val="en-GB"/>
        </w:rPr>
        <w:t>the number of granted emergency authorisations</w:t>
      </w:r>
      <w:r w:rsidR="00C1097F" w:rsidRPr="0024391B">
        <w:t xml:space="preserve">) </w:t>
      </w:r>
      <w:r>
        <w:t>will</w:t>
      </w:r>
      <w:r w:rsidR="00C1097F" w:rsidRPr="0024391B">
        <w:t xml:space="preserve"> be replaced by the methodology of harmonised risk indicator 2a (</w:t>
      </w:r>
      <w:r w:rsidR="00C1097F" w:rsidRPr="0024391B">
        <w:rPr>
          <w:b/>
        </w:rPr>
        <w:t xml:space="preserve">based on </w:t>
      </w:r>
      <w:r w:rsidR="00C1097F" w:rsidRPr="0024391B">
        <w:rPr>
          <w:b/>
          <w:bCs/>
          <w:lang w:val="en-GB"/>
        </w:rPr>
        <w:t>the number of and areas treated under granted emergency authorisations)</w:t>
      </w:r>
      <w:r w:rsidR="00C1097F" w:rsidRPr="0024391B">
        <w:t xml:space="preserve">. </w:t>
      </w:r>
    </w:p>
    <w:p w14:paraId="6A69DE0B" w14:textId="77777777" w:rsidR="00C1097F" w:rsidRPr="00AF565C" w:rsidRDefault="00C1097F" w:rsidP="00AF565C">
      <w:pPr>
        <w:pStyle w:val="ListParagraph"/>
        <w:shd w:val="clear" w:color="auto" w:fill="FFFFFF"/>
        <w:spacing w:after="225" w:line="240" w:lineRule="auto"/>
        <w:jc w:val="both"/>
        <w:outlineLvl w:val="1"/>
        <w:rPr>
          <w:lang w:val="en-GB"/>
        </w:rPr>
      </w:pPr>
    </w:p>
    <w:sectPr w:rsidR="00C1097F" w:rsidRPr="00AF565C" w:rsidSect="00020D18">
      <w:footerReference w:type="default" r:id="rId1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EB10F" w16cex:dateUtc="2022-07-17T15:02:00Z"/>
  <w16cex:commentExtensible w16cex:durableId="267EAB58" w16cex:dateUtc="2022-07-17T14:38:00Z"/>
  <w16cex:commentExtensible w16cex:durableId="267EACE7" w16cex:dateUtc="2022-07-17T14:44:00Z"/>
  <w16cex:commentExtensible w16cex:durableId="267EAD0E" w16cex:dateUtc="2022-07-17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AE3B3" w16cid:durableId="267EB10F"/>
  <w16cid:commentId w16cid:paraId="06AD5B80" w16cid:durableId="267EAB58"/>
  <w16cid:commentId w16cid:paraId="621D9C0E" w16cid:durableId="267EACE7"/>
  <w16cid:commentId w16cid:paraId="6964DD5A" w16cid:durableId="267EAD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CB3D" w14:textId="77777777" w:rsidR="0093597C" w:rsidRDefault="0093597C" w:rsidP="00995C83">
      <w:pPr>
        <w:spacing w:after="0" w:line="240" w:lineRule="auto"/>
      </w:pPr>
      <w:r>
        <w:separator/>
      </w:r>
    </w:p>
  </w:endnote>
  <w:endnote w:type="continuationSeparator" w:id="0">
    <w:p w14:paraId="0704A959" w14:textId="77777777" w:rsidR="0093597C" w:rsidRDefault="0093597C" w:rsidP="0099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120562"/>
      <w:docPartObj>
        <w:docPartGallery w:val="Page Numbers (Bottom of Page)"/>
        <w:docPartUnique/>
      </w:docPartObj>
    </w:sdtPr>
    <w:sdtEndPr>
      <w:rPr>
        <w:noProof/>
      </w:rPr>
    </w:sdtEndPr>
    <w:sdtContent>
      <w:p w14:paraId="0BC1F379" w14:textId="40DA4523" w:rsidR="0093597C" w:rsidRDefault="0093597C">
        <w:pPr>
          <w:pStyle w:val="Footer"/>
          <w:jc w:val="center"/>
        </w:pPr>
        <w:r>
          <w:fldChar w:fldCharType="begin"/>
        </w:r>
        <w:r>
          <w:instrText xml:space="preserve"> PAGE   \* MERGEFORMAT </w:instrText>
        </w:r>
        <w:r>
          <w:fldChar w:fldCharType="separate"/>
        </w:r>
        <w:r w:rsidR="00766604">
          <w:rPr>
            <w:noProof/>
          </w:rPr>
          <w:t>1</w:t>
        </w:r>
        <w:r>
          <w:rPr>
            <w:noProof/>
          </w:rPr>
          <w:fldChar w:fldCharType="end"/>
        </w:r>
      </w:p>
    </w:sdtContent>
  </w:sdt>
  <w:p w14:paraId="2AA611F2" w14:textId="77777777" w:rsidR="0093597C" w:rsidRDefault="0093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117F" w14:textId="77777777" w:rsidR="0093597C" w:rsidRDefault="0093597C" w:rsidP="00995C83">
      <w:pPr>
        <w:spacing w:after="0" w:line="240" w:lineRule="auto"/>
      </w:pPr>
      <w:r>
        <w:separator/>
      </w:r>
    </w:p>
  </w:footnote>
  <w:footnote w:type="continuationSeparator" w:id="0">
    <w:p w14:paraId="69D2E86F" w14:textId="77777777" w:rsidR="0093597C" w:rsidRDefault="0093597C" w:rsidP="00995C83">
      <w:pPr>
        <w:spacing w:after="0" w:line="240" w:lineRule="auto"/>
      </w:pPr>
      <w:r>
        <w:continuationSeparator/>
      </w:r>
    </w:p>
  </w:footnote>
  <w:footnote w:id="1">
    <w:p w14:paraId="4AC68778" w14:textId="0355A84A" w:rsidR="004F083B" w:rsidRPr="004F083B" w:rsidRDefault="004F083B" w:rsidP="004F083B">
      <w:pPr>
        <w:pStyle w:val="FootnoteText"/>
        <w:rPr>
          <w:rFonts w:asciiTheme="minorHAnsi" w:hAnsiTheme="minorHAnsi" w:cstheme="minorHAnsi"/>
          <w:sz w:val="18"/>
          <w:szCs w:val="18"/>
          <w:lang w:val="en-US"/>
        </w:rPr>
      </w:pPr>
      <w:r>
        <w:rPr>
          <w:rStyle w:val="FootnoteReference"/>
        </w:rPr>
        <w:footnoteRef/>
      </w:r>
      <w:r>
        <w:t xml:space="preserve"> </w:t>
      </w:r>
      <w:r w:rsidRPr="004F083B">
        <w:rPr>
          <w:rFonts w:asciiTheme="minorHAnsi" w:hAnsiTheme="minorHAnsi" w:cstheme="minorHAnsi"/>
          <w:sz w:val="18"/>
          <w:szCs w:val="18"/>
          <w:lang w:val="en-US"/>
        </w:rPr>
        <w:t xml:space="preserve"> SAIO covers inputs to and outputs of the agricultural sector, with regard to agricultural production (crops and animals) as well as organic farming, plant protection products, nutrients and agricultural prices data, with a view improving the quality, comparability and coherence of European agricultural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4E9"/>
    <w:multiLevelType w:val="hybridMultilevel"/>
    <w:tmpl w:val="B936D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249DF"/>
    <w:multiLevelType w:val="hybridMultilevel"/>
    <w:tmpl w:val="D9D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264B"/>
    <w:multiLevelType w:val="hybridMultilevel"/>
    <w:tmpl w:val="AABA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6C62B9"/>
    <w:multiLevelType w:val="hybridMultilevel"/>
    <w:tmpl w:val="F07A41B6"/>
    <w:lvl w:ilvl="0" w:tplc="B11AE7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20902"/>
    <w:multiLevelType w:val="hybridMultilevel"/>
    <w:tmpl w:val="83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F1CF8"/>
    <w:multiLevelType w:val="hybridMultilevel"/>
    <w:tmpl w:val="01E4E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FF3ECC"/>
    <w:multiLevelType w:val="hybridMultilevel"/>
    <w:tmpl w:val="2B7C9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6603B"/>
    <w:multiLevelType w:val="hybridMultilevel"/>
    <w:tmpl w:val="FCD41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90971"/>
    <w:multiLevelType w:val="hybridMultilevel"/>
    <w:tmpl w:val="81C4D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5"/>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2A"/>
    <w:rsid w:val="0000371A"/>
    <w:rsid w:val="0000588C"/>
    <w:rsid w:val="00006123"/>
    <w:rsid w:val="00012346"/>
    <w:rsid w:val="0001361B"/>
    <w:rsid w:val="000139A5"/>
    <w:rsid w:val="000167C2"/>
    <w:rsid w:val="00020D18"/>
    <w:rsid w:val="00027765"/>
    <w:rsid w:val="000317E2"/>
    <w:rsid w:val="00042569"/>
    <w:rsid w:val="00045055"/>
    <w:rsid w:val="00045A82"/>
    <w:rsid w:val="0005496D"/>
    <w:rsid w:val="000626DD"/>
    <w:rsid w:val="00065ABE"/>
    <w:rsid w:val="00066FDC"/>
    <w:rsid w:val="000744F4"/>
    <w:rsid w:val="00080B8F"/>
    <w:rsid w:val="00080D58"/>
    <w:rsid w:val="00083832"/>
    <w:rsid w:val="00086698"/>
    <w:rsid w:val="000919B7"/>
    <w:rsid w:val="000955B8"/>
    <w:rsid w:val="000A74BB"/>
    <w:rsid w:val="000B5EBF"/>
    <w:rsid w:val="000B6F18"/>
    <w:rsid w:val="000B78FE"/>
    <w:rsid w:val="000C3281"/>
    <w:rsid w:val="000C6EB1"/>
    <w:rsid w:val="000C75AA"/>
    <w:rsid w:val="000D7555"/>
    <w:rsid w:val="000E1AD0"/>
    <w:rsid w:val="000E638E"/>
    <w:rsid w:val="000E7CC4"/>
    <w:rsid w:val="000F24AE"/>
    <w:rsid w:val="000F472A"/>
    <w:rsid w:val="000F4986"/>
    <w:rsid w:val="000F5691"/>
    <w:rsid w:val="000F698C"/>
    <w:rsid w:val="000F78C1"/>
    <w:rsid w:val="000F7F71"/>
    <w:rsid w:val="001053A8"/>
    <w:rsid w:val="00106C54"/>
    <w:rsid w:val="00110D88"/>
    <w:rsid w:val="00113C36"/>
    <w:rsid w:val="00121180"/>
    <w:rsid w:val="001212B1"/>
    <w:rsid w:val="001242EF"/>
    <w:rsid w:val="00124EF8"/>
    <w:rsid w:val="00125645"/>
    <w:rsid w:val="001271C1"/>
    <w:rsid w:val="001325B0"/>
    <w:rsid w:val="00135535"/>
    <w:rsid w:val="00136D6F"/>
    <w:rsid w:val="00143F3D"/>
    <w:rsid w:val="00144689"/>
    <w:rsid w:val="001465C1"/>
    <w:rsid w:val="00172DE3"/>
    <w:rsid w:val="00182EAF"/>
    <w:rsid w:val="00185137"/>
    <w:rsid w:val="00191E56"/>
    <w:rsid w:val="00193C0A"/>
    <w:rsid w:val="001952B6"/>
    <w:rsid w:val="00196924"/>
    <w:rsid w:val="001A4579"/>
    <w:rsid w:val="001B1787"/>
    <w:rsid w:val="001C1960"/>
    <w:rsid w:val="001C4EA3"/>
    <w:rsid w:val="001D384E"/>
    <w:rsid w:val="001D4396"/>
    <w:rsid w:val="001E083C"/>
    <w:rsid w:val="001F2769"/>
    <w:rsid w:val="001F2840"/>
    <w:rsid w:val="001F6147"/>
    <w:rsid w:val="001F6387"/>
    <w:rsid w:val="00201380"/>
    <w:rsid w:val="002028BE"/>
    <w:rsid w:val="0020364A"/>
    <w:rsid w:val="0020710E"/>
    <w:rsid w:val="00210097"/>
    <w:rsid w:val="002112E1"/>
    <w:rsid w:val="002113D2"/>
    <w:rsid w:val="00222C52"/>
    <w:rsid w:val="00225353"/>
    <w:rsid w:val="0023110C"/>
    <w:rsid w:val="00231F38"/>
    <w:rsid w:val="00234F09"/>
    <w:rsid w:val="0023523D"/>
    <w:rsid w:val="00235CC2"/>
    <w:rsid w:val="00241051"/>
    <w:rsid w:val="0024391B"/>
    <w:rsid w:val="00260861"/>
    <w:rsid w:val="00263D69"/>
    <w:rsid w:val="00271929"/>
    <w:rsid w:val="002820D0"/>
    <w:rsid w:val="002829D9"/>
    <w:rsid w:val="002844B5"/>
    <w:rsid w:val="00290A26"/>
    <w:rsid w:val="00292A3C"/>
    <w:rsid w:val="00292FFB"/>
    <w:rsid w:val="002972B6"/>
    <w:rsid w:val="00297B2A"/>
    <w:rsid w:val="002B0E33"/>
    <w:rsid w:val="002B24AE"/>
    <w:rsid w:val="002B325D"/>
    <w:rsid w:val="002B398A"/>
    <w:rsid w:val="002B6CAE"/>
    <w:rsid w:val="002C2162"/>
    <w:rsid w:val="002C3297"/>
    <w:rsid w:val="002C4D58"/>
    <w:rsid w:val="002D08AC"/>
    <w:rsid w:val="002D5248"/>
    <w:rsid w:val="002D7AAE"/>
    <w:rsid w:val="002D7BCE"/>
    <w:rsid w:val="002E1FF4"/>
    <w:rsid w:val="002E2CBB"/>
    <w:rsid w:val="002E4C2D"/>
    <w:rsid w:val="002F4113"/>
    <w:rsid w:val="002F561E"/>
    <w:rsid w:val="00315EC4"/>
    <w:rsid w:val="003231B2"/>
    <w:rsid w:val="00324EE1"/>
    <w:rsid w:val="0033145A"/>
    <w:rsid w:val="003314B5"/>
    <w:rsid w:val="00340A10"/>
    <w:rsid w:val="00340DC4"/>
    <w:rsid w:val="00343A6B"/>
    <w:rsid w:val="003447C2"/>
    <w:rsid w:val="00344A62"/>
    <w:rsid w:val="0034546D"/>
    <w:rsid w:val="00351FA1"/>
    <w:rsid w:val="003544AE"/>
    <w:rsid w:val="00356E2E"/>
    <w:rsid w:val="0036247B"/>
    <w:rsid w:val="00362D7F"/>
    <w:rsid w:val="003656BF"/>
    <w:rsid w:val="003677D3"/>
    <w:rsid w:val="003678A6"/>
    <w:rsid w:val="00371C8A"/>
    <w:rsid w:val="003725D7"/>
    <w:rsid w:val="00373377"/>
    <w:rsid w:val="003742A8"/>
    <w:rsid w:val="003761B4"/>
    <w:rsid w:val="003805E0"/>
    <w:rsid w:val="00381E77"/>
    <w:rsid w:val="0038497A"/>
    <w:rsid w:val="00384F32"/>
    <w:rsid w:val="00386CFF"/>
    <w:rsid w:val="003A1419"/>
    <w:rsid w:val="003A4132"/>
    <w:rsid w:val="003B23D1"/>
    <w:rsid w:val="003B2E83"/>
    <w:rsid w:val="003B7F4C"/>
    <w:rsid w:val="003C398A"/>
    <w:rsid w:val="003C46AF"/>
    <w:rsid w:val="003D0C00"/>
    <w:rsid w:val="003D242B"/>
    <w:rsid w:val="003D26B4"/>
    <w:rsid w:val="003D3291"/>
    <w:rsid w:val="003E199C"/>
    <w:rsid w:val="003E1A1A"/>
    <w:rsid w:val="003E7D00"/>
    <w:rsid w:val="003F09A5"/>
    <w:rsid w:val="003F7715"/>
    <w:rsid w:val="0040231D"/>
    <w:rsid w:val="00402568"/>
    <w:rsid w:val="00404681"/>
    <w:rsid w:val="004111D5"/>
    <w:rsid w:val="004121C9"/>
    <w:rsid w:val="004133F2"/>
    <w:rsid w:val="00413ED7"/>
    <w:rsid w:val="00414128"/>
    <w:rsid w:val="00414610"/>
    <w:rsid w:val="00417055"/>
    <w:rsid w:val="004174C7"/>
    <w:rsid w:val="00417605"/>
    <w:rsid w:val="00422ADE"/>
    <w:rsid w:val="004235B0"/>
    <w:rsid w:val="0042415E"/>
    <w:rsid w:val="00426917"/>
    <w:rsid w:val="004308E9"/>
    <w:rsid w:val="00431614"/>
    <w:rsid w:val="00432091"/>
    <w:rsid w:val="00433360"/>
    <w:rsid w:val="004513EC"/>
    <w:rsid w:val="004518D6"/>
    <w:rsid w:val="00453FC9"/>
    <w:rsid w:val="00454764"/>
    <w:rsid w:val="00457890"/>
    <w:rsid w:val="00460CD9"/>
    <w:rsid w:val="00471E1E"/>
    <w:rsid w:val="00471F7B"/>
    <w:rsid w:val="00472CAB"/>
    <w:rsid w:val="0047395D"/>
    <w:rsid w:val="00474355"/>
    <w:rsid w:val="00476574"/>
    <w:rsid w:val="00483248"/>
    <w:rsid w:val="00484DFE"/>
    <w:rsid w:val="00484E5F"/>
    <w:rsid w:val="004873AC"/>
    <w:rsid w:val="00493BF5"/>
    <w:rsid w:val="004946CC"/>
    <w:rsid w:val="00495902"/>
    <w:rsid w:val="00496DCD"/>
    <w:rsid w:val="004974E2"/>
    <w:rsid w:val="004B0C17"/>
    <w:rsid w:val="004B51F3"/>
    <w:rsid w:val="004B674C"/>
    <w:rsid w:val="004B71D4"/>
    <w:rsid w:val="004C474A"/>
    <w:rsid w:val="004C6854"/>
    <w:rsid w:val="004D46F1"/>
    <w:rsid w:val="004E34B0"/>
    <w:rsid w:val="004E3C15"/>
    <w:rsid w:val="004E4214"/>
    <w:rsid w:val="004E60F8"/>
    <w:rsid w:val="004F083B"/>
    <w:rsid w:val="004F72E5"/>
    <w:rsid w:val="0051444E"/>
    <w:rsid w:val="00517C46"/>
    <w:rsid w:val="005231A5"/>
    <w:rsid w:val="005247A1"/>
    <w:rsid w:val="005315DB"/>
    <w:rsid w:val="00533E9F"/>
    <w:rsid w:val="005426A6"/>
    <w:rsid w:val="00543D90"/>
    <w:rsid w:val="0055029F"/>
    <w:rsid w:val="00554010"/>
    <w:rsid w:val="00555546"/>
    <w:rsid w:val="0056036F"/>
    <w:rsid w:val="00560E72"/>
    <w:rsid w:val="005625C6"/>
    <w:rsid w:val="00574998"/>
    <w:rsid w:val="0057577C"/>
    <w:rsid w:val="00575780"/>
    <w:rsid w:val="005818BB"/>
    <w:rsid w:val="00585639"/>
    <w:rsid w:val="00585DB1"/>
    <w:rsid w:val="005917F4"/>
    <w:rsid w:val="00595C9B"/>
    <w:rsid w:val="005A1B9B"/>
    <w:rsid w:val="005A72EB"/>
    <w:rsid w:val="005B0B51"/>
    <w:rsid w:val="005B2537"/>
    <w:rsid w:val="005B2D00"/>
    <w:rsid w:val="005B35B8"/>
    <w:rsid w:val="005B3866"/>
    <w:rsid w:val="005B4F3A"/>
    <w:rsid w:val="005B55C0"/>
    <w:rsid w:val="005C1574"/>
    <w:rsid w:val="005C15D5"/>
    <w:rsid w:val="005C27F0"/>
    <w:rsid w:val="005C3301"/>
    <w:rsid w:val="005C5AA4"/>
    <w:rsid w:val="005C7E3A"/>
    <w:rsid w:val="005D64BB"/>
    <w:rsid w:val="005F0871"/>
    <w:rsid w:val="005F1D0B"/>
    <w:rsid w:val="005F4F38"/>
    <w:rsid w:val="006005E9"/>
    <w:rsid w:val="00605E81"/>
    <w:rsid w:val="006103D5"/>
    <w:rsid w:val="00622A7B"/>
    <w:rsid w:val="00625398"/>
    <w:rsid w:val="006279FC"/>
    <w:rsid w:val="00627F58"/>
    <w:rsid w:val="00631F9E"/>
    <w:rsid w:val="0063469F"/>
    <w:rsid w:val="0064219B"/>
    <w:rsid w:val="006455D9"/>
    <w:rsid w:val="006462DD"/>
    <w:rsid w:val="006474D5"/>
    <w:rsid w:val="0064754D"/>
    <w:rsid w:val="006549F5"/>
    <w:rsid w:val="00665E32"/>
    <w:rsid w:val="00666135"/>
    <w:rsid w:val="006668FA"/>
    <w:rsid w:val="00666FE3"/>
    <w:rsid w:val="00672859"/>
    <w:rsid w:val="006826C6"/>
    <w:rsid w:val="00684AE0"/>
    <w:rsid w:val="00690D78"/>
    <w:rsid w:val="00693483"/>
    <w:rsid w:val="006A02A9"/>
    <w:rsid w:val="006A1408"/>
    <w:rsid w:val="006A3247"/>
    <w:rsid w:val="006A4060"/>
    <w:rsid w:val="006B10F5"/>
    <w:rsid w:val="006B1CA1"/>
    <w:rsid w:val="006C1827"/>
    <w:rsid w:val="006C2C39"/>
    <w:rsid w:val="006D5ABE"/>
    <w:rsid w:val="006D5B66"/>
    <w:rsid w:val="006D7E36"/>
    <w:rsid w:val="006F37AE"/>
    <w:rsid w:val="0070406A"/>
    <w:rsid w:val="007136DE"/>
    <w:rsid w:val="00720F1E"/>
    <w:rsid w:val="00723B10"/>
    <w:rsid w:val="00730368"/>
    <w:rsid w:val="00730615"/>
    <w:rsid w:val="00730E76"/>
    <w:rsid w:val="00736CDB"/>
    <w:rsid w:val="007430F0"/>
    <w:rsid w:val="00743AF0"/>
    <w:rsid w:val="007515C5"/>
    <w:rsid w:val="00753E27"/>
    <w:rsid w:val="00754F2B"/>
    <w:rsid w:val="007629F1"/>
    <w:rsid w:val="00763938"/>
    <w:rsid w:val="00766604"/>
    <w:rsid w:val="007670A3"/>
    <w:rsid w:val="0077457C"/>
    <w:rsid w:val="00780B4B"/>
    <w:rsid w:val="00783298"/>
    <w:rsid w:val="00785C72"/>
    <w:rsid w:val="0079212E"/>
    <w:rsid w:val="00793CF3"/>
    <w:rsid w:val="007A007A"/>
    <w:rsid w:val="007A2306"/>
    <w:rsid w:val="007B3D6B"/>
    <w:rsid w:val="007B4855"/>
    <w:rsid w:val="007C685B"/>
    <w:rsid w:val="007C6E10"/>
    <w:rsid w:val="007D66B9"/>
    <w:rsid w:val="007E0793"/>
    <w:rsid w:val="007E0AF7"/>
    <w:rsid w:val="007E0BD0"/>
    <w:rsid w:val="007E5370"/>
    <w:rsid w:val="007E6C6E"/>
    <w:rsid w:val="007F0702"/>
    <w:rsid w:val="007F2E46"/>
    <w:rsid w:val="007F4F97"/>
    <w:rsid w:val="007F70D9"/>
    <w:rsid w:val="00801E2F"/>
    <w:rsid w:val="00801F83"/>
    <w:rsid w:val="0080681B"/>
    <w:rsid w:val="0081065F"/>
    <w:rsid w:val="00813394"/>
    <w:rsid w:val="0081396B"/>
    <w:rsid w:val="00815643"/>
    <w:rsid w:val="0081611A"/>
    <w:rsid w:val="00822C61"/>
    <w:rsid w:val="00824B6A"/>
    <w:rsid w:val="00825546"/>
    <w:rsid w:val="00833819"/>
    <w:rsid w:val="00834297"/>
    <w:rsid w:val="00836B1A"/>
    <w:rsid w:val="00842DF1"/>
    <w:rsid w:val="008442DF"/>
    <w:rsid w:val="00844902"/>
    <w:rsid w:val="00844FA0"/>
    <w:rsid w:val="00847A00"/>
    <w:rsid w:val="00854DEB"/>
    <w:rsid w:val="00856EF8"/>
    <w:rsid w:val="00860DA8"/>
    <w:rsid w:val="00863573"/>
    <w:rsid w:val="00865047"/>
    <w:rsid w:val="008657F3"/>
    <w:rsid w:val="00867F77"/>
    <w:rsid w:val="008759AE"/>
    <w:rsid w:val="008764CF"/>
    <w:rsid w:val="008772C4"/>
    <w:rsid w:val="00880555"/>
    <w:rsid w:val="008873EF"/>
    <w:rsid w:val="00892D84"/>
    <w:rsid w:val="00896B27"/>
    <w:rsid w:val="008A062A"/>
    <w:rsid w:val="008A08E2"/>
    <w:rsid w:val="008A0CD9"/>
    <w:rsid w:val="008A1D6D"/>
    <w:rsid w:val="008A449B"/>
    <w:rsid w:val="008A5A4A"/>
    <w:rsid w:val="008B1716"/>
    <w:rsid w:val="008B3D3C"/>
    <w:rsid w:val="008C003B"/>
    <w:rsid w:val="008C409C"/>
    <w:rsid w:val="008C56D1"/>
    <w:rsid w:val="008C5D61"/>
    <w:rsid w:val="008E4957"/>
    <w:rsid w:val="008F23F0"/>
    <w:rsid w:val="008F6916"/>
    <w:rsid w:val="0090505A"/>
    <w:rsid w:val="0091109A"/>
    <w:rsid w:val="0091315A"/>
    <w:rsid w:val="00934BAE"/>
    <w:rsid w:val="0093555F"/>
    <w:rsid w:val="0093597C"/>
    <w:rsid w:val="009401C0"/>
    <w:rsid w:val="00943D33"/>
    <w:rsid w:val="00943F71"/>
    <w:rsid w:val="009458B1"/>
    <w:rsid w:val="00950A5B"/>
    <w:rsid w:val="00951CA5"/>
    <w:rsid w:val="00953684"/>
    <w:rsid w:val="00953AD8"/>
    <w:rsid w:val="0095600B"/>
    <w:rsid w:val="009626A2"/>
    <w:rsid w:val="00966403"/>
    <w:rsid w:val="009701EB"/>
    <w:rsid w:val="00986C6D"/>
    <w:rsid w:val="00987049"/>
    <w:rsid w:val="009927A8"/>
    <w:rsid w:val="00992875"/>
    <w:rsid w:val="00993DC4"/>
    <w:rsid w:val="00994DF5"/>
    <w:rsid w:val="00995C83"/>
    <w:rsid w:val="00995CE7"/>
    <w:rsid w:val="009A454D"/>
    <w:rsid w:val="009A7B96"/>
    <w:rsid w:val="009B0228"/>
    <w:rsid w:val="009C2DC2"/>
    <w:rsid w:val="009D4647"/>
    <w:rsid w:val="009E237C"/>
    <w:rsid w:val="009E32A2"/>
    <w:rsid w:val="009E720F"/>
    <w:rsid w:val="00A03E7C"/>
    <w:rsid w:val="00A13678"/>
    <w:rsid w:val="00A33169"/>
    <w:rsid w:val="00A357EA"/>
    <w:rsid w:val="00A40EAF"/>
    <w:rsid w:val="00A44A22"/>
    <w:rsid w:val="00A45AE0"/>
    <w:rsid w:val="00A52EEF"/>
    <w:rsid w:val="00A52F01"/>
    <w:rsid w:val="00A5584A"/>
    <w:rsid w:val="00A5761F"/>
    <w:rsid w:val="00A61BC1"/>
    <w:rsid w:val="00A70D08"/>
    <w:rsid w:val="00A75508"/>
    <w:rsid w:val="00A772B7"/>
    <w:rsid w:val="00A80967"/>
    <w:rsid w:val="00A8272F"/>
    <w:rsid w:val="00A900FE"/>
    <w:rsid w:val="00A9384B"/>
    <w:rsid w:val="00A93900"/>
    <w:rsid w:val="00A94879"/>
    <w:rsid w:val="00AA654F"/>
    <w:rsid w:val="00AA7FDF"/>
    <w:rsid w:val="00AB1084"/>
    <w:rsid w:val="00AB438D"/>
    <w:rsid w:val="00AB4EAE"/>
    <w:rsid w:val="00AC3237"/>
    <w:rsid w:val="00AC51FC"/>
    <w:rsid w:val="00AE2881"/>
    <w:rsid w:val="00AE3F53"/>
    <w:rsid w:val="00AE5789"/>
    <w:rsid w:val="00AF565C"/>
    <w:rsid w:val="00AF5AE3"/>
    <w:rsid w:val="00B03F90"/>
    <w:rsid w:val="00B0445B"/>
    <w:rsid w:val="00B045F6"/>
    <w:rsid w:val="00B123B5"/>
    <w:rsid w:val="00B132AC"/>
    <w:rsid w:val="00B20519"/>
    <w:rsid w:val="00B221B0"/>
    <w:rsid w:val="00B30698"/>
    <w:rsid w:val="00B31267"/>
    <w:rsid w:val="00B375C1"/>
    <w:rsid w:val="00B43F9F"/>
    <w:rsid w:val="00B53AF4"/>
    <w:rsid w:val="00B54426"/>
    <w:rsid w:val="00B5690C"/>
    <w:rsid w:val="00B66E23"/>
    <w:rsid w:val="00B7101D"/>
    <w:rsid w:val="00B71D42"/>
    <w:rsid w:val="00B73802"/>
    <w:rsid w:val="00B76470"/>
    <w:rsid w:val="00B80275"/>
    <w:rsid w:val="00B82A0A"/>
    <w:rsid w:val="00B92128"/>
    <w:rsid w:val="00B922CD"/>
    <w:rsid w:val="00B96D28"/>
    <w:rsid w:val="00BA184B"/>
    <w:rsid w:val="00BA5890"/>
    <w:rsid w:val="00BA7037"/>
    <w:rsid w:val="00BB010E"/>
    <w:rsid w:val="00BB3442"/>
    <w:rsid w:val="00BB48CD"/>
    <w:rsid w:val="00BB633F"/>
    <w:rsid w:val="00BD0936"/>
    <w:rsid w:val="00BD122C"/>
    <w:rsid w:val="00BE0F5A"/>
    <w:rsid w:val="00BE692C"/>
    <w:rsid w:val="00BE7B32"/>
    <w:rsid w:val="00BF0F98"/>
    <w:rsid w:val="00BF34B6"/>
    <w:rsid w:val="00BF4499"/>
    <w:rsid w:val="00BF632A"/>
    <w:rsid w:val="00C005CB"/>
    <w:rsid w:val="00C0436C"/>
    <w:rsid w:val="00C0656D"/>
    <w:rsid w:val="00C1097F"/>
    <w:rsid w:val="00C12FF5"/>
    <w:rsid w:val="00C14A56"/>
    <w:rsid w:val="00C225F5"/>
    <w:rsid w:val="00C24137"/>
    <w:rsid w:val="00C355F7"/>
    <w:rsid w:val="00C36D79"/>
    <w:rsid w:val="00C46AA4"/>
    <w:rsid w:val="00C508AF"/>
    <w:rsid w:val="00C519ED"/>
    <w:rsid w:val="00C55C42"/>
    <w:rsid w:val="00C62EF7"/>
    <w:rsid w:val="00C80B22"/>
    <w:rsid w:val="00C85C47"/>
    <w:rsid w:val="00C902EF"/>
    <w:rsid w:val="00C9506D"/>
    <w:rsid w:val="00CA096B"/>
    <w:rsid w:val="00CA6089"/>
    <w:rsid w:val="00CB41CC"/>
    <w:rsid w:val="00CB6899"/>
    <w:rsid w:val="00CB6D6F"/>
    <w:rsid w:val="00CC0909"/>
    <w:rsid w:val="00CC23C6"/>
    <w:rsid w:val="00CC2ECB"/>
    <w:rsid w:val="00CC41EE"/>
    <w:rsid w:val="00CD078E"/>
    <w:rsid w:val="00CE05FF"/>
    <w:rsid w:val="00CE2797"/>
    <w:rsid w:val="00CE75C2"/>
    <w:rsid w:val="00CE7A94"/>
    <w:rsid w:val="00CF01E0"/>
    <w:rsid w:val="00CF4DBF"/>
    <w:rsid w:val="00CF6DE6"/>
    <w:rsid w:val="00D05209"/>
    <w:rsid w:val="00D10198"/>
    <w:rsid w:val="00D132E5"/>
    <w:rsid w:val="00D159BF"/>
    <w:rsid w:val="00D20B94"/>
    <w:rsid w:val="00D21EF5"/>
    <w:rsid w:val="00D22F2C"/>
    <w:rsid w:val="00D24498"/>
    <w:rsid w:val="00D3634F"/>
    <w:rsid w:val="00D40085"/>
    <w:rsid w:val="00D41482"/>
    <w:rsid w:val="00D45461"/>
    <w:rsid w:val="00D55D53"/>
    <w:rsid w:val="00D67760"/>
    <w:rsid w:val="00D71E46"/>
    <w:rsid w:val="00D74C79"/>
    <w:rsid w:val="00D81D3C"/>
    <w:rsid w:val="00D85A90"/>
    <w:rsid w:val="00D86744"/>
    <w:rsid w:val="00D94C39"/>
    <w:rsid w:val="00DA21B9"/>
    <w:rsid w:val="00DA66BA"/>
    <w:rsid w:val="00DC2D83"/>
    <w:rsid w:val="00DD04D1"/>
    <w:rsid w:val="00DD5B41"/>
    <w:rsid w:val="00DE0DD9"/>
    <w:rsid w:val="00DE2405"/>
    <w:rsid w:val="00DE28DD"/>
    <w:rsid w:val="00DE36D2"/>
    <w:rsid w:val="00DE6822"/>
    <w:rsid w:val="00DE6AAF"/>
    <w:rsid w:val="00DF59FB"/>
    <w:rsid w:val="00E012E0"/>
    <w:rsid w:val="00E03555"/>
    <w:rsid w:val="00E07E26"/>
    <w:rsid w:val="00E101DC"/>
    <w:rsid w:val="00E10A88"/>
    <w:rsid w:val="00E13F01"/>
    <w:rsid w:val="00E1418D"/>
    <w:rsid w:val="00E21BC4"/>
    <w:rsid w:val="00E2404D"/>
    <w:rsid w:val="00E276AD"/>
    <w:rsid w:val="00E33821"/>
    <w:rsid w:val="00E33A10"/>
    <w:rsid w:val="00E3695D"/>
    <w:rsid w:val="00E4405B"/>
    <w:rsid w:val="00E44F34"/>
    <w:rsid w:val="00E45E09"/>
    <w:rsid w:val="00E51D0C"/>
    <w:rsid w:val="00E52F3B"/>
    <w:rsid w:val="00E55DC0"/>
    <w:rsid w:val="00E6247E"/>
    <w:rsid w:val="00E6557D"/>
    <w:rsid w:val="00E66EF7"/>
    <w:rsid w:val="00E713C9"/>
    <w:rsid w:val="00E74859"/>
    <w:rsid w:val="00E76040"/>
    <w:rsid w:val="00E83D20"/>
    <w:rsid w:val="00E865D7"/>
    <w:rsid w:val="00E924DA"/>
    <w:rsid w:val="00EA394B"/>
    <w:rsid w:val="00EA429C"/>
    <w:rsid w:val="00EA775E"/>
    <w:rsid w:val="00EB1A24"/>
    <w:rsid w:val="00EB68E9"/>
    <w:rsid w:val="00EC4AC0"/>
    <w:rsid w:val="00ED6A72"/>
    <w:rsid w:val="00EE218F"/>
    <w:rsid w:val="00EE4822"/>
    <w:rsid w:val="00EF136B"/>
    <w:rsid w:val="00EF3FF6"/>
    <w:rsid w:val="00F06393"/>
    <w:rsid w:val="00F15029"/>
    <w:rsid w:val="00F1718D"/>
    <w:rsid w:val="00F21A2E"/>
    <w:rsid w:val="00F21E78"/>
    <w:rsid w:val="00F22BB2"/>
    <w:rsid w:val="00F23536"/>
    <w:rsid w:val="00F237D6"/>
    <w:rsid w:val="00F24010"/>
    <w:rsid w:val="00F27E26"/>
    <w:rsid w:val="00F314D7"/>
    <w:rsid w:val="00F32C71"/>
    <w:rsid w:val="00F57C37"/>
    <w:rsid w:val="00F66506"/>
    <w:rsid w:val="00F82C27"/>
    <w:rsid w:val="00F845F5"/>
    <w:rsid w:val="00F85096"/>
    <w:rsid w:val="00F86CC8"/>
    <w:rsid w:val="00F905E6"/>
    <w:rsid w:val="00F91031"/>
    <w:rsid w:val="00F94774"/>
    <w:rsid w:val="00F957FB"/>
    <w:rsid w:val="00FA1E4F"/>
    <w:rsid w:val="00FA2A84"/>
    <w:rsid w:val="00FA47B4"/>
    <w:rsid w:val="00FA77D2"/>
    <w:rsid w:val="00FB29AF"/>
    <w:rsid w:val="00FB2F0A"/>
    <w:rsid w:val="00FB3B4C"/>
    <w:rsid w:val="00FB607B"/>
    <w:rsid w:val="00FC16A0"/>
    <w:rsid w:val="00FD675E"/>
    <w:rsid w:val="00FD7FAA"/>
    <w:rsid w:val="00FE17FC"/>
    <w:rsid w:val="00FE6C0A"/>
    <w:rsid w:val="00FE711A"/>
    <w:rsid w:val="00FF1FDC"/>
    <w:rsid w:val="00FF3D2A"/>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66A9"/>
  <w15:chartTrackingRefBased/>
  <w15:docId w15:val="{0A62794F-245A-4918-8FE8-9329717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F09"/>
    <w:pPr>
      <w:ind w:left="720"/>
      <w:contextualSpacing/>
    </w:pPr>
  </w:style>
  <w:style w:type="paragraph" w:styleId="FootnoteText">
    <w:name w:val="footnote text"/>
    <w:basedOn w:val="Normal"/>
    <w:link w:val="FootnoteTextChar"/>
    <w:semiHidden/>
    <w:rsid w:val="00995C83"/>
    <w:pPr>
      <w:spacing w:after="0" w:line="240" w:lineRule="auto"/>
    </w:pPr>
    <w:rPr>
      <w:rFonts w:ascii="Times New Roman" w:eastAsia="Times New Roman" w:hAnsi="Times New Roman" w:cs="Times New Roman"/>
      <w:sz w:val="20"/>
      <w:szCs w:val="20"/>
      <w:lang w:val="fr-FR" w:eastAsia="el-GR"/>
    </w:rPr>
  </w:style>
  <w:style w:type="character" w:customStyle="1" w:styleId="FootnoteTextChar">
    <w:name w:val="Footnote Text Char"/>
    <w:basedOn w:val="DefaultParagraphFont"/>
    <w:link w:val="FootnoteText"/>
    <w:semiHidden/>
    <w:rsid w:val="00995C83"/>
    <w:rPr>
      <w:rFonts w:ascii="Times New Roman" w:eastAsia="Times New Roman" w:hAnsi="Times New Roman" w:cs="Times New Roman"/>
      <w:sz w:val="20"/>
      <w:szCs w:val="20"/>
      <w:lang w:val="fr-FR" w:eastAsia="el-GR"/>
    </w:rPr>
  </w:style>
  <w:style w:type="character" w:styleId="FootnoteReference">
    <w:name w:val="footnote reference"/>
    <w:semiHidden/>
    <w:rsid w:val="00995C83"/>
    <w:rPr>
      <w:vertAlign w:val="superscript"/>
    </w:rPr>
  </w:style>
  <w:style w:type="character" w:styleId="Hyperlink">
    <w:name w:val="Hyperlink"/>
    <w:basedOn w:val="DefaultParagraphFont"/>
    <w:uiPriority w:val="99"/>
    <w:unhideWhenUsed/>
    <w:rsid w:val="00DD04D1"/>
    <w:rPr>
      <w:color w:val="0563C1" w:themeColor="hyperlink"/>
      <w:u w:val="single"/>
    </w:rPr>
  </w:style>
  <w:style w:type="paragraph" w:customStyle="1" w:styleId="CM4">
    <w:name w:val="CM4"/>
    <w:basedOn w:val="Normal"/>
    <w:next w:val="Normal"/>
    <w:uiPriority w:val="99"/>
    <w:rsid w:val="002112E1"/>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60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E9"/>
  </w:style>
  <w:style w:type="paragraph" w:styleId="Footer">
    <w:name w:val="footer"/>
    <w:basedOn w:val="Normal"/>
    <w:link w:val="FooterChar"/>
    <w:uiPriority w:val="99"/>
    <w:unhideWhenUsed/>
    <w:rsid w:val="0060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E9"/>
  </w:style>
  <w:style w:type="paragraph" w:styleId="BalloonText">
    <w:name w:val="Balloon Text"/>
    <w:basedOn w:val="Normal"/>
    <w:link w:val="BalloonTextChar"/>
    <w:uiPriority w:val="99"/>
    <w:semiHidden/>
    <w:unhideWhenUsed/>
    <w:rsid w:val="00962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A2"/>
    <w:rPr>
      <w:rFonts w:ascii="Segoe UI" w:hAnsi="Segoe UI" w:cs="Segoe UI"/>
      <w:sz w:val="18"/>
      <w:szCs w:val="18"/>
    </w:rPr>
  </w:style>
  <w:style w:type="character" w:styleId="FollowedHyperlink">
    <w:name w:val="FollowedHyperlink"/>
    <w:basedOn w:val="DefaultParagraphFont"/>
    <w:uiPriority w:val="99"/>
    <w:semiHidden/>
    <w:unhideWhenUsed/>
    <w:rsid w:val="000626DD"/>
    <w:rPr>
      <w:color w:val="954F72" w:themeColor="followedHyperlink"/>
      <w:u w:val="single"/>
    </w:rPr>
  </w:style>
  <w:style w:type="paragraph" w:styleId="Revision">
    <w:name w:val="Revision"/>
    <w:hidden/>
    <w:uiPriority w:val="99"/>
    <w:semiHidden/>
    <w:rsid w:val="00CF6DE6"/>
    <w:pPr>
      <w:spacing w:after="0" w:line="240" w:lineRule="auto"/>
    </w:pPr>
  </w:style>
  <w:style w:type="character" w:styleId="CommentReference">
    <w:name w:val="annotation reference"/>
    <w:basedOn w:val="DefaultParagraphFont"/>
    <w:uiPriority w:val="99"/>
    <w:semiHidden/>
    <w:unhideWhenUsed/>
    <w:rsid w:val="001053A8"/>
    <w:rPr>
      <w:sz w:val="16"/>
      <w:szCs w:val="16"/>
    </w:rPr>
  </w:style>
  <w:style w:type="paragraph" w:styleId="CommentText">
    <w:name w:val="annotation text"/>
    <w:basedOn w:val="Normal"/>
    <w:link w:val="CommentTextChar"/>
    <w:uiPriority w:val="99"/>
    <w:unhideWhenUsed/>
    <w:rsid w:val="001053A8"/>
    <w:pPr>
      <w:spacing w:line="240" w:lineRule="auto"/>
    </w:pPr>
    <w:rPr>
      <w:sz w:val="20"/>
      <w:szCs w:val="20"/>
    </w:rPr>
  </w:style>
  <w:style w:type="character" w:customStyle="1" w:styleId="CommentTextChar">
    <w:name w:val="Comment Text Char"/>
    <w:basedOn w:val="DefaultParagraphFont"/>
    <w:link w:val="CommentText"/>
    <w:uiPriority w:val="99"/>
    <w:rsid w:val="001053A8"/>
    <w:rPr>
      <w:sz w:val="20"/>
      <w:szCs w:val="20"/>
    </w:rPr>
  </w:style>
  <w:style w:type="paragraph" w:styleId="CommentSubject">
    <w:name w:val="annotation subject"/>
    <w:basedOn w:val="CommentText"/>
    <w:next w:val="CommentText"/>
    <w:link w:val="CommentSubjectChar"/>
    <w:uiPriority w:val="99"/>
    <w:semiHidden/>
    <w:unhideWhenUsed/>
    <w:rsid w:val="001053A8"/>
    <w:rPr>
      <w:b/>
      <w:bCs/>
    </w:rPr>
  </w:style>
  <w:style w:type="character" w:customStyle="1" w:styleId="CommentSubjectChar">
    <w:name w:val="Comment Subject Char"/>
    <w:basedOn w:val="CommentTextChar"/>
    <w:link w:val="CommentSubject"/>
    <w:uiPriority w:val="99"/>
    <w:semiHidden/>
    <w:rsid w:val="00105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1275">
      <w:bodyDiv w:val="1"/>
      <w:marLeft w:val="0"/>
      <w:marRight w:val="0"/>
      <w:marTop w:val="0"/>
      <w:marBottom w:val="0"/>
      <w:divBdr>
        <w:top w:val="none" w:sz="0" w:space="0" w:color="auto"/>
        <w:left w:val="none" w:sz="0" w:space="0" w:color="auto"/>
        <w:bottom w:val="none" w:sz="0" w:space="0" w:color="auto"/>
        <w:right w:val="none" w:sz="0" w:space="0" w:color="auto"/>
      </w:divBdr>
    </w:div>
    <w:div w:id="216168172">
      <w:bodyDiv w:val="1"/>
      <w:marLeft w:val="0"/>
      <w:marRight w:val="0"/>
      <w:marTop w:val="0"/>
      <w:marBottom w:val="0"/>
      <w:divBdr>
        <w:top w:val="none" w:sz="0" w:space="0" w:color="auto"/>
        <w:left w:val="none" w:sz="0" w:space="0" w:color="auto"/>
        <w:bottom w:val="none" w:sz="0" w:space="0" w:color="auto"/>
        <w:right w:val="none" w:sz="0" w:space="0" w:color="auto"/>
      </w:divBdr>
    </w:div>
    <w:div w:id="477646109">
      <w:bodyDiv w:val="1"/>
      <w:marLeft w:val="0"/>
      <w:marRight w:val="0"/>
      <w:marTop w:val="0"/>
      <w:marBottom w:val="0"/>
      <w:divBdr>
        <w:top w:val="none" w:sz="0" w:space="0" w:color="auto"/>
        <w:left w:val="none" w:sz="0" w:space="0" w:color="auto"/>
        <w:bottom w:val="none" w:sz="0" w:space="0" w:color="auto"/>
        <w:right w:val="none" w:sz="0" w:space="0" w:color="auto"/>
      </w:divBdr>
    </w:div>
    <w:div w:id="507403143">
      <w:bodyDiv w:val="1"/>
      <w:marLeft w:val="0"/>
      <w:marRight w:val="0"/>
      <w:marTop w:val="0"/>
      <w:marBottom w:val="0"/>
      <w:divBdr>
        <w:top w:val="none" w:sz="0" w:space="0" w:color="auto"/>
        <w:left w:val="none" w:sz="0" w:space="0" w:color="auto"/>
        <w:bottom w:val="none" w:sz="0" w:space="0" w:color="auto"/>
        <w:right w:val="none" w:sz="0" w:space="0" w:color="auto"/>
      </w:divBdr>
    </w:div>
    <w:div w:id="567351009">
      <w:bodyDiv w:val="1"/>
      <w:marLeft w:val="0"/>
      <w:marRight w:val="0"/>
      <w:marTop w:val="0"/>
      <w:marBottom w:val="0"/>
      <w:divBdr>
        <w:top w:val="none" w:sz="0" w:space="0" w:color="auto"/>
        <w:left w:val="none" w:sz="0" w:space="0" w:color="auto"/>
        <w:bottom w:val="none" w:sz="0" w:space="0" w:color="auto"/>
        <w:right w:val="none" w:sz="0" w:space="0" w:color="auto"/>
      </w:divBdr>
      <w:divsChild>
        <w:div w:id="301542681">
          <w:marLeft w:val="0"/>
          <w:marRight w:val="0"/>
          <w:marTop w:val="0"/>
          <w:marBottom w:val="0"/>
          <w:divBdr>
            <w:top w:val="none" w:sz="0" w:space="0" w:color="auto"/>
            <w:left w:val="none" w:sz="0" w:space="0" w:color="auto"/>
            <w:bottom w:val="none" w:sz="0" w:space="0" w:color="auto"/>
            <w:right w:val="none" w:sz="0" w:space="0" w:color="auto"/>
          </w:divBdr>
          <w:divsChild>
            <w:div w:id="787704937">
              <w:marLeft w:val="0"/>
              <w:marRight w:val="0"/>
              <w:marTop w:val="0"/>
              <w:marBottom w:val="225"/>
              <w:divBdr>
                <w:top w:val="none" w:sz="0" w:space="0" w:color="auto"/>
                <w:left w:val="none" w:sz="0" w:space="0" w:color="auto"/>
                <w:bottom w:val="none" w:sz="0" w:space="0" w:color="auto"/>
                <w:right w:val="none" w:sz="0" w:space="0" w:color="auto"/>
              </w:divBdr>
              <w:divsChild>
                <w:div w:id="905409745">
                  <w:marLeft w:val="0"/>
                  <w:marRight w:val="0"/>
                  <w:marTop w:val="0"/>
                  <w:marBottom w:val="0"/>
                  <w:divBdr>
                    <w:top w:val="none" w:sz="0" w:space="0" w:color="auto"/>
                    <w:left w:val="none" w:sz="0" w:space="0" w:color="auto"/>
                    <w:bottom w:val="none" w:sz="0" w:space="0" w:color="auto"/>
                    <w:right w:val="none" w:sz="0" w:space="0" w:color="auto"/>
                  </w:divBdr>
                  <w:divsChild>
                    <w:div w:id="1498617952">
                      <w:marLeft w:val="0"/>
                      <w:marRight w:val="0"/>
                      <w:marTop w:val="0"/>
                      <w:marBottom w:val="0"/>
                      <w:divBdr>
                        <w:top w:val="none" w:sz="0" w:space="0" w:color="auto"/>
                        <w:left w:val="none" w:sz="0" w:space="0" w:color="auto"/>
                        <w:bottom w:val="none" w:sz="0" w:space="0" w:color="auto"/>
                        <w:right w:val="none" w:sz="0" w:space="0" w:color="auto"/>
                      </w:divBdr>
                      <w:divsChild>
                        <w:div w:id="1615287461">
                          <w:marLeft w:val="0"/>
                          <w:marRight w:val="0"/>
                          <w:marTop w:val="0"/>
                          <w:marBottom w:val="0"/>
                          <w:divBdr>
                            <w:top w:val="none" w:sz="0" w:space="0" w:color="auto"/>
                            <w:left w:val="none" w:sz="0" w:space="0" w:color="auto"/>
                            <w:bottom w:val="none" w:sz="0" w:space="0" w:color="auto"/>
                            <w:right w:val="none" w:sz="0" w:space="0" w:color="auto"/>
                          </w:divBdr>
                          <w:divsChild>
                            <w:div w:id="799766422">
                              <w:marLeft w:val="0"/>
                              <w:marRight w:val="0"/>
                              <w:marTop w:val="900"/>
                              <w:marBottom w:val="0"/>
                              <w:divBdr>
                                <w:top w:val="none" w:sz="0" w:space="0" w:color="auto"/>
                                <w:left w:val="single" w:sz="36" w:space="19" w:color="FFCC00"/>
                                <w:bottom w:val="none" w:sz="0" w:space="0" w:color="auto"/>
                                <w:right w:val="none" w:sz="0" w:space="0" w:color="auto"/>
                              </w:divBdr>
                              <w:divsChild>
                                <w:div w:id="267588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69966361">
              <w:marLeft w:val="0"/>
              <w:marRight w:val="0"/>
              <w:marTop w:val="0"/>
              <w:marBottom w:val="225"/>
              <w:divBdr>
                <w:top w:val="none" w:sz="0" w:space="0" w:color="auto"/>
                <w:left w:val="none" w:sz="0" w:space="0" w:color="auto"/>
                <w:bottom w:val="none" w:sz="0" w:space="0" w:color="auto"/>
                <w:right w:val="none" w:sz="0" w:space="0" w:color="auto"/>
              </w:divBdr>
              <w:divsChild>
                <w:div w:id="2124881223">
                  <w:marLeft w:val="0"/>
                  <w:marRight w:val="0"/>
                  <w:marTop w:val="0"/>
                  <w:marBottom w:val="0"/>
                  <w:divBdr>
                    <w:top w:val="none" w:sz="0" w:space="0" w:color="auto"/>
                    <w:left w:val="none" w:sz="0" w:space="0" w:color="auto"/>
                    <w:bottom w:val="none" w:sz="0" w:space="0" w:color="auto"/>
                    <w:right w:val="none" w:sz="0" w:space="0" w:color="auto"/>
                  </w:divBdr>
                  <w:divsChild>
                    <w:div w:id="900365160">
                      <w:marLeft w:val="0"/>
                      <w:marRight w:val="0"/>
                      <w:marTop w:val="0"/>
                      <w:marBottom w:val="0"/>
                      <w:divBdr>
                        <w:top w:val="none" w:sz="0" w:space="0" w:color="auto"/>
                        <w:left w:val="none" w:sz="0" w:space="0" w:color="auto"/>
                        <w:bottom w:val="none" w:sz="0" w:space="0" w:color="auto"/>
                        <w:right w:val="none" w:sz="0" w:space="0" w:color="auto"/>
                      </w:divBdr>
                      <w:divsChild>
                        <w:div w:id="5465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87181">
      <w:bodyDiv w:val="1"/>
      <w:marLeft w:val="0"/>
      <w:marRight w:val="0"/>
      <w:marTop w:val="0"/>
      <w:marBottom w:val="0"/>
      <w:divBdr>
        <w:top w:val="none" w:sz="0" w:space="0" w:color="auto"/>
        <w:left w:val="none" w:sz="0" w:space="0" w:color="auto"/>
        <w:bottom w:val="none" w:sz="0" w:space="0" w:color="auto"/>
        <w:right w:val="none" w:sz="0" w:space="0" w:color="auto"/>
      </w:divBdr>
    </w:div>
    <w:div w:id="1079248681">
      <w:bodyDiv w:val="1"/>
      <w:marLeft w:val="0"/>
      <w:marRight w:val="0"/>
      <w:marTop w:val="0"/>
      <w:marBottom w:val="0"/>
      <w:divBdr>
        <w:top w:val="none" w:sz="0" w:space="0" w:color="auto"/>
        <w:left w:val="none" w:sz="0" w:space="0" w:color="auto"/>
        <w:bottom w:val="none" w:sz="0" w:space="0" w:color="auto"/>
        <w:right w:val="none" w:sz="0" w:space="0" w:color="auto"/>
      </w:divBdr>
    </w:div>
    <w:div w:id="1197816689">
      <w:bodyDiv w:val="1"/>
      <w:marLeft w:val="0"/>
      <w:marRight w:val="0"/>
      <w:marTop w:val="0"/>
      <w:marBottom w:val="0"/>
      <w:divBdr>
        <w:top w:val="none" w:sz="0" w:space="0" w:color="auto"/>
        <w:left w:val="none" w:sz="0" w:space="0" w:color="auto"/>
        <w:bottom w:val="none" w:sz="0" w:space="0" w:color="auto"/>
        <w:right w:val="none" w:sz="0" w:space="0" w:color="auto"/>
      </w:divBdr>
    </w:div>
    <w:div w:id="1205604730">
      <w:bodyDiv w:val="1"/>
      <w:marLeft w:val="0"/>
      <w:marRight w:val="0"/>
      <w:marTop w:val="0"/>
      <w:marBottom w:val="0"/>
      <w:divBdr>
        <w:top w:val="none" w:sz="0" w:space="0" w:color="auto"/>
        <w:left w:val="none" w:sz="0" w:space="0" w:color="auto"/>
        <w:bottom w:val="none" w:sz="0" w:space="0" w:color="auto"/>
        <w:right w:val="none" w:sz="0" w:space="0" w:color="auto"/>
      </w:divBdr>
    </w:div>
    <w:div w:id="1438479670">
      <w:bodyDiv w:val="1"/>
      <w:marLeft w:val="0"/>
      <w:marRight w:val="0"/>
      <w:marTop w:val="0"/>
      <w:marBottom w:val="0"/>
      <w:divBdr>
        <w:top w:val="none" w:sz="0" w:space="0" w:color="auto"/>
        <w:left w:val="none" w:sz="0" w:space="0" w:color="auto"/>
        <w:bottom w:val="none" w:sz="0" w:space="0" w:color="auto"/>
        <w:right w:val="none" w:sz="0" w:space="0" w:color="auto"/>
      </w:divBdr>
    </w:div>
    <w:div w:id="1788696000">
      <w:bodyDiv w:val="1"/>
      <w:marLeft w:val="0"/>
      <w:marRight w:val="0"/>
      <w:marTop w:val="0"/>
      <w:marBottom w:val="0"/>
      <w:divBdr>
        <w:top w:val="none" w:sz="0" w:space="0" w:color="auto"/>
        <w:left w:val="none" w:sz="0" w:space="0" w:color="auto"/>
        <w:bottom w:val="none" w:sz="0" w:space="0" w:color="auto"/>
        <w:right w:val="none" w:sz="0" w:space="0" w:color="auto"/>
      </w:divBdr>
    </w:div>
    <w:div w:id="19366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obc-wprs.org/ip_practical_guidelines/index.html"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gc.ca/eng/scientific-collaboration-and-research-in-agriculture/agriculture-and-agri-food-research-centres-and-collections/pest-management-centre/pesticide-risk-reduction-at-the-pest-management-centre/crop-profiles/?id=153513950033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77BD4883BD84DA11357DC0458D6ED" ma:contentTypeVersion="15" ma:contentTypeDescription="Create a new document." ma:contentTypeScope="" ma:versionID="9af1750c934b523eb6a08521525186b9">
  <xsd:schema xmlns:xsd="http://www.w3.org/2001/XMLSchema" xmlns:xs="http://www.w3.org/2001/XMLSchema" xmlns:p="http://schemas.microsoft.com/office/2006/metadata/properties" xmlns:ns1="http://schemas.microsoft.com/sharepoint/v3" xmlns:ns3="01129d06-fadb-4446-8455-7d0db30f5ae6" xmlns:ns4="a237fbf5-f69b-4549-b8c5-5122d38c421b" targetNamespace="http://schemas.microsoft.com/office/2006/metadata/properties" ma:root="true" ma:fieldsID="3dca1f152a1716220d1340b05245bad4" ns1:_="" ns3:_="" ns4:_="">
    <xsd:import namespace="http://schemas.microsoft.com/sharepoint/v3"/>
    <xsd:import namespace="01129d06-fadb-4446-8455-7d0db30f5ae6"/>
    <xsd:import namespace="a237fbf5-f69b-4549-b8c5-5122d38c4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29d06-fadb-4446-8455-7d0db30f5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7fbf5-f69b-4549-b8c5-5122d38c42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E3A4-F3D4-4688-8765-2D37EA22C430}">
  <ds:schemaRefs>
    <ds:schemaRef ds:uri="http://schemas.microsoft.com/sharepoint/v3/contenttype/forms"/>
  </ds:schemaRefs>
</ds:datastoreItem>
</file>

<file path=customXml/itemProps2.xml><?xml version="1.0" encoding="utf-8"?>
<ds:datastoreItem xmlns:ds="http://schemas.openxmlformats.org/officeDocument/2006/customXml" ds:itemID="{71024997-6907-46C8-8704-879F64FF685D}">
  <ds:schemaRefs>
    <ds:schemaRef ds:uri="http://purl.org/dc/elements/1.1/"/>
    <ds:schemaRef ds:uri="http://schemas.microsoft.com/office/2006/metadata/properties"/>
    <ds:schemaRef ds:uri="http://schemas.microsoft.com/sharepoint/v3"/>
    <ds:schemaRef ds:uri="01129d06-fadb-4446-8455-7d0db30f5a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37fbf5-f69b-4549-b8c5-5122d38c421b"/>
    <ds:schemaRef ds:uri="http://www.w3.org/XML/1998/namespace"/>
    <ds:schemaRef ds:uri="http://purl.org/dc/dcmitype/"/>
  </ds:schemaRefs>
</ds:datastoreItem>
</file>

<file path=customXml/itemProps3.xml><?xml version="1.0" encoding="utf-8"?>
<ds:datastoreItem xmlns:ds="http://schemas.openxmlformats.org/officeDocument/2006/customXml" ds:itemID="{AA6A5D3B-51D9-43F6-8E79-FF2B6EAA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29d06-fadb-4446-8455-7d0db30f5ae6"/>
    <ds:schemaRef ds:uri="a237fbf5-f69b-4549-b8c5-5122d38c4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C2C54-7EB4-4E6C-9F0F-7C9AE6AD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3336</Words>
  <Characters>18818</Characters>
  <Application>Microsoft Office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Jeroen.Meeussen@erm.com</dc:creator>
  <cp:keywords/>
  <dc:description/>
  <cp:lastModifiedBy>Jeroen Meeussen</cp:lastModifiedBy>
  <cp:revision>2</cp:revision>
  <dcterms:created xsi:type="dcterms:W3CDTF">2022-07-18T16:15:00Z</dcterms:created>
  <dcterms:modified xsi:type="dcterms:W3CDTF">2022-07-18T16:15:00Z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0x01010042B77BD4883BD84DA11357DC0458D6ED</vt:lpwstr>
  </property>
</Properties>
</file>